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83C40F" w14:textId="77777777" w:rsidR="00271C15" w:rsidRDefault="00271C15" w:rsidP="00271C15">
      <w:pPr>
        <w:pStyle w:val="paragraph"/>
        <w:spacing w:before="0" w:beforeAutospacing="0" w:after="0" w:afterAutospacing="0"/>
        <w:ind w:right="900"/>
        <w:jc w:val="center"/>
        <w:textAlignment w:val="baseline"/>
        <w:rPr>
          <w:rFonts w:ascii="Segoe UI" w:hAnsi="Segoe UI" w:cs="Segoe UI"/>
          <w:sz w:val="18"/>
          <w:szCs w:val="18"/>
        </w:rPr>
      </w:pPr>
      <w:r>
        <w:rPr>
          <w:rStyle w:val="normaltextrun"/>
          <w:rFonts w:eastAsiaTheme="majorEastAsia"/>
          <w:b/>
          <w:bCs/>
          <w:sz w:val="36"/>
          <w:szCs w:val="36"/>
          <w:u w:val="single"/>
        </w:rPr>
        <w:t xml:space="preserve">Use of Secure Locks </w:t>
      </w:r>
      <w:proofErr w:type="gramStart"/>
      <w:r>
        <w:rPr>
          <w:rStyle w:val="normaltextrun"/>
          <w:rFonts w:eastAsiaTheme="majorEastAsia"/>
          <w:b/>
          <w:bCs/>
          <w:sz w:val="36"/>
          <w:szCs w:val="36"/>
          <w:u w:val="single"/>
        </w:rPr>
        <w:t>On</w:t>
      </w:r>
      <w:proofErr w:type="gramEnd"/>
      <w:r>
        <w:rPr>
          <w:rStyle w:val="normaltextrun"/>
          <w:rFonts w:eastAsiaTheme="majorEastAsia"/>
          <w:b/>
          <w:bCs/>
          <w:sz w:val="36"/>
          <w:szCs w:val="36"/>
          <w:u w:val="single"/>
        </w:rPr>
        <w:t xml:space="preserve"> Body Bags</w:t>
      </w:r>
      <w:r>
        <w:rPr>
          <w:rStyle w:val="eop"/>
          <w:rFonts w:eastAsiaTheme="majorEastAsia"/>
          <w:sz w:val="36"/>
          <w:szCs w:val="36"/>
        </w:rPr>
        <w:t> </w:t>
      </w:r>
    </w:p>
    <w:p w14:paraId="13053A7C"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40"/>
          <w:szCs w:val="40"/>
        </w:rPr>
        <w:t> </w:t>
      </w:r>
    </w:p>
    <w:p w14:paraId="4AA16204"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2C3A0B6C"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On any suspicious death or homicide, the Investigator will place a onetime use lock on the body bag in such a manner as to prevent unauthorized access to the decedent.</w:t>
      </w:r>
      <w:r>
        <w:rPr>
          <w:rStyle w:val="eop"/>
          <w:rFonts w:eastAsiaTheme="majorEastAsia"/>
        </w:rPr>
        <w:t> </w:t>
      </w:r>
    </w:p>
    <w:p w14:paraId="49D4EB27"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84E047F"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lock is not to be broken until such a time as the Forensic Pathologist is ready to examine the body. Law Enforcement is encouraged to be present </w:t>
      </w:r>
      <w:proofErr w:type="gramStart"/>
      <w:r>
        <w:rPr>
          <w:rStyle w:val="normaltextrun"/>
          <w:rFonts w:eastAsiaTheme="majorEastAsia"/>
        </w:rPr>
        <w:t>at this time</w:t>
      </w:r>
      <w:proofErr w:type="gramEnd"/>
      <w:r>
        <w:rPr>
          <w:rStyle w:val="normaltextrun"/>
          <w:rFonts w:eastAsiaTheme="majorEastAsia"/>
        </w:rPr>
        <w:t>.</w:t>
      </w:r>
      <w:r>
        <w:rPr>
          <w:rStyle w:val="eop"/>
          <w:rFonts w:eastAsiaTheme="majorEastAsia"/>
        </w:rPr>
        <w:t> </w:t>
      </w:r>
    </w:p>
    <w:p w14:paraId="340F40FF"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83D4DB4"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72DACEC6"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F3B80B5" w14:textId="77777777" w:rsidR="00271C15" w:rsidRDefault="00271C15" w:rsidP="00271C15">
      <w:pPr>
        <w:pStyle w:val="paragraph"/>
        <w:numPr>
          <w:ilvl w:val="0"/>
          <w:numId w:val="24"/>
        </w:numPr>
        <w:spacing w:before="0" w:beforeAutospacing="0" w:after="0" w:afterAutospacing="0"/>
        <w:ind w:left="1080" w:firstLine="0"/>
        <w:textAlignment w:val="baseline"/>
      </w:pPr>
      <w:r>
        <w:rPr>
          <w:rStyle w:val="normaltextrun"/>
          <w:rFonts w:eastAsiaTheme="majorEastAsia"/>
        </w:rPr>
        <w:t>Based on circumstances of death, the investigator will place a onetime use lock through the two zipper tabs of the body bag to prevent unauthorized access to the decedent. If the body bag has only one zipper tab, the investigator will use evidence tape over the zipper to prevent any unauthorized access to the decedent. </w:t>
      </w:r>
      <w:r>
        <w:rPr>
          <w:rStyle w:val="eop"/>
          <w:rFonts w:eastAsiaTheme="majorEastAsia"/>
        </w:rPr>
        <w:t> </w:t>
      </w:r>
    </w:p>
    <w:p w14:paraId="38C5867B" w14:textId="77777777" w:rsidR="00271C15" w:rsidRDefault="00271C15" w:rsidP="00271C15">
      <w:pPr>
        <w:pStyle w:val="paragraph"/>
        <w:numPr>
          <w:ilvl w:val="0"/>
          <w:numId w:val="25"/>
        </w:numPr>
        <w:spacing w:before="0" w:beforeAutospacing="0" w:after="0" w:afterAutospacing="0"/>
        <w:ind w:left="1080" w:firstLine="0"/>
        <w:textAlignment w:val="baseline"/>
      </w:pPr>
      <w:r>
        <w:rPr>
          <w:rStyle w:val="normaltextrun"/>
          <w:rFonts w:eastAsiaTheme="majorEastAsia"/>
        </w:rPr>
        <w:t>The lock will be used on all homicide cases, fire deaths, in custody of law enforcement, officer involved or in presence cases, child deaths, deaths of staff or family members, high profile traffic fatalities and where there is any felony prosecution.</w:t>
      </w:r>
      <w:r>
        <w:rPr>
          <w:rStyle w:val="eop"/>
          <w:rFonts w:eastAsiaTheme="majorEastAsia"/>
        </w:rPr>
        <w:t> </w:t>
      </w:r>
    </w:p>
    <w:p w14:paraId="0CC4F7A6" w14:textId="77777777" w:rsidR="00271C15" w:rsidRDefault="00271C15" w:rsidP="00271C15">
      <w:pPr>
        <w:pStyle w:val="paragraph"/>
        <w:numPr>
          <w:ilvl w:val="0"/>
          <w:numId w:val="26"/>
        </w:numPr>
        <w:spacing w:before="0" w:beforeAutospacing="0" w:after="0" w:afterAutospacing="0"/>
        <w:ind w:left="1080" w:firstLine="0"/>
        <w:textAlignment w:val="baseline"/>
      </w:pPr>
      <w:r>
        <w:rPr>
          <w:rStyle w:val="normaltextrun"/>
          <w:rFonts w:eastAsiaTheme="majorEastAsia"/>
        </w:rPr>
        <w:t xml:space="preserve">It will also be used </w:t>
      </w:r>
      <w:proofErr w:type="gramStart"/>
      <w:r>
        <w:rPr>
          <w:rStyle w:val="normaltextrun"/>
          <w:rFonts w:eastAsiaTheme="majorEastAsia"/>
        </w:rPr>
        <w:t>on</w:t>
      </w:r>
      <w:proofErr w:type="gramEnd"/>
      <w:r>
        <w:rPr>
          <w:rStyle w:val="normaltextrun"/>
          <w:rFonts w:eastAsiaTheme="majorEastAsia"/>
        </w:rPr>
        <w:t xml:space="preserve"> other cases deemed suspicious in nature, with documentation in the narrative as to why the lock was used.</w:t>
      </w:r>
      <w:r>
        <w:rPr>
          <w:rStyle w:val="eop"/>
          <w:rFonts w:eastAsiaTheme="majorEastAsia"/>
        </w:rPr>
        <w:t> </w:t>
      </w:r>
    </w:p>
    <w:p w14:paraId="7B5D6269" w14:textId="77777777" w:rsidR="00271C15" w:rsidRDefault="00271C15" w:rsidP="00271C15">
      <w:pPr>
        <w:pStyle w:val="paragraph"/>
        <w:numPr>
          <w:ilvl w:val="0"/>
          <w:numId w:val="27"/>
        </w:numPr>
        <w:spacing w:before="0" w:beforeAutospacing="0" w:after="0" w:afterAutospacing="0"/>
        <w:ind w:left="1080" w:firstLine="0"/>
        <w:textAlignment w:val="baseline"/>
      </w:pPr>
      <w:r>
        <w:rPr>
          <w:rStyle w:val="normaltextrun"/>
          <w:rFonts w:eastAsiaTheme="majorEastAsia"/>
        </w:rPr>
        <w:t>Each lock is numbered and the number will be photographed and documented in the investigative report.</w:t>
      </w:r>
      <w:r>
        <w:rPr>
          <w:rStyle w:val="eop"/>
          <w:rFonts w:eastAsiaTheme="majorEastAsia"/>
        </w:rPr>
        <w:t> </w:t>
      </w:r>
    </w:p>
    <w:p w14:paraId="48953E72" w14:textId="77777777" w:rsidR="00271C15" w:rsidRDefault="00271C15" w:rsidP="00271C15">
      <w:pPr>
        <w:pStyle w:val="paragraph"/>
        <w:numPr>
          <w:ilvl w:val="0"/>
          <w:numId w:val="28"/>
        </w:numPr>
        <w:spacing w:before="0" w:beforeAutospacing="0" w:after="0" w:afterAutospacing="0"/>
        <w:ind w:left="1080" w:firstLine="0"/>
        <w:textAlignment w:val="baseline"/>
      </w:pPr>
      <w:r>
        <w:rPr>
          <w:rStyle w:val="normaltextrun"/>
          <w:rFonts w:eastAsiaTheme="majorEastAsia"/>
        </w:rPr>
        <w:t xml:space="preserve">If a lock is used for any of the above reasons, upon arrival at the Coroner’s Office, the lock will not be broken, nor removed by the investigator for any reason. The investigator will confirm that the original seal is </w:t>
      </w:r>
      <w:proofErr w:type="gramStart"/>
      <w:r>
        <w:rPr>
          <w:rStyle w:val="normaltextrun"/>
          <w:rFonts w:eastAsiaTheme="majorEastAsia"/>
        </w:rPr>
        <w:t>intact, and</w:t>
      </w:r>
      <w:proofErr w:type="gramEnd"/>
      <w:r>
        <w:rPr>
          <w:rStyle w:val="normaltextrun"/>
          <w:rFonts w:eastAsiaTheme="majorEastAsia"/>
        </w:rPr>
        <w:t xml:space="preserve"> will document that in the report. The seal will remain intact until time of examination/autopsy.</w:t>
      </w:r>
      <w:r>
        <w:rPr>
          <w:rStyle w:val="eop"/>
          <w:rFonts w:eastAsiaTheme="majorEastAsia"/>
        </w:rPr>
        <w:t> </w:t>
      </w:r>
    </w:p>
    <w:p w14:paraId="20896F43" w14:textId="77777777" w:rsidR="00271C15" w:rsidRDefault="00271C15" w:rsidP="00271C15">
      <w:pPr>
        <w:pStyle w:val="paragraph"/>
        <w:numPr>
          <w:ilvl w:val="0"/>
          <w:numId w:val="29"/>
        </w:numPr>
        <w:spacing w:before="0" w:beforeAutospacing="0" w:after="0" w:afterAutospacing="0"/>
        <w:ind w:left="1080" w:firstLine="0"/>
        <w:textAlignment w:val="baseline"/>
      </w:pPr>
      <w:r>
        <w:rPr>
          <w:rStyle w:val="normaltextrun"/>
          <w:rFonts w:eastAsiaTheme="majorEastAsia"/>
        </w:rPr>
        <w:t>If the body bag is locked and it is considered a criminal case, a law enforcement representative will be notified prior to the lock being broken.</w:t>
      </w:r>
      <w:r>
        <w:rPr>
          <w:rStyle w:val="eop"/>
          <w:rFonts w:eastAsiaTheme="majorEastAsia"/>
        </w:rPr>
        <w:t> </w:t>
      </w:r>
    </w:p>
    <w:p w14:paraId="537E1AA1" w14:textId="77777777" w:rsidR="00271C15" w:rsidRDefault="00271C15" w:rsidP="00271C15">
      <w:pPr>
        <w:pStyle w:val="paragraph"/>
        <w:numPr>
          <w:ilvl w:val="0"/>
          <w:numId w:val="30"/>
        </w:numPr>
        <w:spacing w:before="0" w:beforeAutospacing="0" w:after="0" w:afterAutospacing="0"/>
        <w:ind w:left="1080" w:firstLine="0"/>
        <w:textAlignment w:val="baseline"/>
      </w:pPr>
      <w:r>
        <w:rPr>
          <w:rStyle w:val="normaltextrun"/>
          <w:rFonts w:eastAsiaTheme="majorEastAsia"/>
        </w:rPr>
        <w:t>Prior to removal of the lock, the lock number will be verified and the lock photographed.</w:t>
      </w:r>
      <w:r>
        <w:rPr>
          <w:rStyle w:val="eop"/>
          <w:rFonts w:eastAsiaTheme="majorEastAsia"/>
        </w:rPr>
        <w:t> </w:t>
      </w:r>
    </w:p>
    <w:p w14:paraId="27D082A8" w14:textId="77777777" w:rsidR="00271C15" w:rsidRDefault="00271C15" w:rsidP="00271C15">
      <w:pPr>
        <w:pStyle w:val="paragraph"/>
        <w:numPr>
          <w:ilvl w:val="0"/>
          <w:numId w:val="31"/>
        </w:numPr>
        <w:spacing w:before="0" w:beforeAutospacing="0" w:after="0" w:afterAutospacing="0"/>
        <w:ind w:left="1080" w:firstLine="0"/>
        <w:textAlignment w:val="baseline"/>
      </w:pPr>
      <w:r>
        <w:rPr>
          <w:rStyle w:val="normaltextrun"/>
          <w:rFonts w:eastAsiaTheme="majorEastAsia"/>
        </w:rPr>
        <w:t xml:space="preserve">Anytime there is doubt as to how to proceed, the forensic division staff should consult the pathologist assigned to the case, the </w:t>
      </w:r>
      <w:proofErr w:type="gramStart"/>
      <w:r>
        <w:rPr>
          <w:rStyle w:val="normaltextrun"/>
          <w:rFonts w:eastAsiaTheme="majorEastAsia"/>
        </w:rPr>
        <w:t>Coroner</w:t>
      </w:r>
      <w:proofErr w:type="gramEnd"/>
      <w:r>
        <w:rPr>
          <w:rStyle w:val="normaltextrun"/>
          <w:rFonts w:eastAsiaTheme="majorEastAsia"/>
        </w:rPr>
        <w:t>, or the Chief Deputy.</w:t>
      </w:r>
      <w:r>
        <w:rPr>
          <w:rStyle w:val="eop"/>
          <w:rFonts w:eastAsiaTheme="majorEastAsia"/>
        </w:rPr>
        <w:t> </w:t>
      </w:r>
    </w:p>
    <w:p w14:paraId="05313DA7" w14:textId="77777777" w:rsidR="00271C15" w:rsidRDefault="00271C15" w:rsidP="00271C15">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4D16E23E" w14:textId="77777777" w:rsidR="00271C15" w:rsidRDefault="00271C15" w:rsidP="00271C15">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01F255AB" w14:textId="77777777" w:rsidR="00271C15" w:rsidRDefault="00271C15" w:rsidP="00271C1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038B808"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4DD86E8" w14:textId="77777777" w:rsidR="003D0FC7" w:rsidRDefault="003D0FC7" w:rsidP="003D0FC7">
      <w:pPr>
        <w:pStyle w:val="paragraph"/>
        <w:spacing w:before="0" w:beforeAutospacing="0" w:after="0" w:afterAutospacing="0"/>
        <w:ind w:right="900" w:firstLine="2160"/>
        <w:textAlignment w:val="baseline"/>
        <w:rPr>
          <w:rFonts w:ascii="Segoe UI" w:hAnsi="Segoe UI" w:cs="Segoe UI"/>
          <w:sz w:val="18"/>
          <w:szCs w:val="18"/>
        </w:rPr>
      </w:pPr>
      <w:r>
        <w:rPr>
          <w:rStyle w:val="eop"/>
          <w:rFonts w:eastAsiaTheme="majorEastAsia"/>
        </w:rPr>
        <w:t> </w:t>
      </w:r>
    </w:p>
    <w:p w14:paraId="5496FB35"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67DC"/>
    <w:multiLevelType w:val="multilevel"/>
    <w:tmpl w:val="5A0AAE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B30AC1"/>
    <w:multiLevelType w:val="multilevel"/>
    <w:tmpl w:val="6DEC78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185E40"/>
    <w:multiLevelType w:val="multilevel"/>
    <w:tmpl w:val="01AC95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0130F9"/>
    <w:multiLevelType w:val="multilevel"/>
    <w:tmpl w:val="004E0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6835BE"/>
    <w:multiLevelType w:val="multilevel"/>
    <w:tmpl w:val="12362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864651F"/>
    <w:multiLevelType w:val="multilevel"/>
    <w:tmpl w:val="44444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65C5F9F"/>
    <w:multiLevelType w:val="multilevel"/>
    <w:tmpl w:val="6104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0351287"/>
    <w:multiLevelType w:val="multilevel"/>
    <w:tmpl w:val="06D2E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58270E3"/>
    <w:multiLevelType w:val="multilevel"/>
    <w:tmpl w:val="2ABA8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5A533A2"/>
    <w:multiLevelType w:val="multilevel"/>
    <w:tmpl w:val="1DF4A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BC5608"/>
    <w:multiLevelType w:val="multilevel"/>
    <w:tmpl w:val="85A46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AA875FE"/>
    <w:multiLevelType w:val="multilevel"/>
    <w:tmpl w:val="CBC260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F793396"/>
    <w:multiLevelType w:val="multilevel"/>
    <w:tmpl w:val="9104B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2834AD2"/>
    <w:multiLevelType w:val="multilevel"/>
    <w:tmpl w:val="58CA91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F777C5"/>
    <w:multiLevelType w:val="multilevel"/>
    <w:tmpl w:val="25ACA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7C627D5"/>
    <w:multiLevelType w:val="multilevel"/>
    <w:tmpl w:val="C4A8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C5052A2"/>
    <w:multiLevelType w:val="multilevel"/>
    <w:tmpl w:val="CA0A6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0D07AE1"/>
    <w:multiLevelType w:val="multilevel"/>
    <w:tmpl w:val="D84EC8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23B790C"/>
    <w:multiLevelType w:val="multilevel"/>
    <w:tmpl w:val="3ECA4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358225B"/>
    <w:multiLevelType w:val="multilevel"/>
    <w:tmpl w:val="7CD68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54A3257"/>
    <w:multiLevelType w:val="multilevel"/>
    <w:tmpl w:val="D58E3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58E6373"/>
    <w:multiLevelType w:val="multilevel"/>
    <w:tmpl w:val="F91AD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8226176"/>
    <w:multiLevelType w:val="multilevel"/>
    <w:tmpl w:val="79A2B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E425C5F"/>
    <w:multiLevelType w:val="multilevel"/>
    <w:tmpl w:val="C92E9A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24C3A11"/>
    <w:multiLevelType w:val="multilevel"/>
    <w:tmpl w:val="AF446F6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3FD39B9"/>
    <w:multiLevelType w:val="multilevel"/>
    <w:tmpl w:val="7E68C9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FB83281"/>
    <w:multiLevelType w:val="multilevel"/>
    <w:tmpl w:val="6B68F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249251B"/>
    <w:multiLevelType w:val="multilevel"/>
    <w:tmpl w:val="8EA86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306782E"/>
    <w:multiLevelType w:val="multilevel"/>
    <w:tmpl w:val="893E7F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91452FD"/>
    <w:multiLevelType w:val="multilevel"/>
    <w:tmpl w:val="F4FCF4D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9E47384"/>
    <w:multiLevelType w:val="multilevel"/>
    <w:tmpl w:val="D1C4C1D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3952975">
    <w:abstractNumId w:val="18"/>
  </w:num>
  <w:num w:numId="2" w16cid:durableId="2102407296">
    <w:abstractNumId w:val="9"/>
  </w:num>
  <w:num w:numId="3" w16cid:durableId="127283719">
    <w:abstractNumId w:val="7"/>
  </w:num>
  <w:num w:numId="4" w16cid:durableId="631833500">
    <w:abstractNumId w:val="14"/>
  </w:num>
  <w:num w:numId="5" w16cid:durableId="1019624327">
    <w:abstractNumId w:val="22"/>
  </w:num>
  <w:num w:numId="6" w16cid:durableId="380830694">
    <w:abstractNumId w:val="4"/>
  </w:num>
  <w:num w:numId="7" w16cid:durableId="1769541127">
    <w:abstractNumId w:val="16"/>
  </w:num>
  <w:num w:numId="8" w16cid:durableId="463894071">
    <w:abstractNumId w:val="15"/>
  </w:num>
  <w:num w:numId="9" w16cid:durableId="1486704070">
    <w:abstractNumId w:val="6"/>
  </w:num>
  <w:num w:numId="10" w16cid:durableId="1539664380">
    <w:abstractNumId w:val="20"/>
  </w:num>
  <w:num w:numId="11" w16cid:durableId="688531198">
    <w:abstractNumId w:val="3"/>
  </w:num>
  <w:num w:numId="12" w16cid:durableId="1380784534">
    <w:abstractNumId w:val="26"/>
  </w:num>
  <w:num w:numId="13" w16cid:durableId="2034572156">
    <w:abstractNumId w:val="8"/>
  </w:num>
  <w:num w:numId="14" w16cid:durableId="1861092119">
    <w:abstractNumId w:val="5"/>
  </w:num>
  <w:num w:numId="15" w16cid:durableId="1503812759">
    <w:abstractNumId w:val="10"/>
  </w:num>
  <w:num w:numId="16" w16cid:durableId="75367027">
    <w:abstractNumId w:val="21"/>
  </w:num>
  <w:num w:numId="17" w16cid:durableId="607784608">
    <w:abstractNumId w:val="19"/>
  </w:num>
  <w:num w:numId="18" w16cid:durableId="1909071294">
    <w:abstractNumId w:val="12"/>
  </w:num>
  <w:num w:numId="19" w16cid:durableId="249510191">
    <w:abstractNumId w:val="17"/>
  </w:num>
  <w:num w:numId="20" w16cid:durableId="2069112259">
    <w:abstractNumId w:val="1"/>
  </w:num>
  <w:num w:numId="21" w16cid:durableId="1072853846">
    <w:abstractNumId w:val="13"/>
  </w:num>
  <w:num w:numId="22" w16cid:durableId="1480147374">
    <w:abstractNumId w:val="2"/>
  </w:num>
  <w:num w:numId="23" w16cid:durableId="580409914">
    <w:abstractNumId w:val="30"/>
  </w:num>
  <w:num w:numId="24" w16cid:durableId="1333604206">
    <w:abstractNumId w:val="27"/>
  </w:num>
  <w:num w:numId="25" w16cid:durableId="759378404">
    <w:abstractNumId w:val="23"/>
  </w:num>
  <w:num w:numId="26" w16cid:durableId="962155886">
    <w:abstractNumId w:val="11"/>
  </w:num>
  <w:num w:numId="27" w16cid:durableId="404959527">
    <w:abstractNumId w:val="25"/>
  </w:num>
  <w:num w:numId="28" w16cid:durableId="1996448884">
    <w:abstractNumId w:val="0"/>
  </w:num>
  <w:num w:numId="29" w16cid:durableId="1300693285">
    <w:abstractNumId w:val="28"/>
  </w:num>
  <w:num w:numId="30" w16cid:durableId="1325546473">
    <w:abstractNumId w:val="29"/>
  </w:num>
  <w:num w:numId="31" w16cid:durableId="2049186696">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2F69"/>
    <w:rsid w:val="000F49F0"/>
    <w:rsid w:val="000F6AF8"/>
    <w:rsid w:val="001156CD"/>
    <w:rsid w:val="00123CC1"/>
    <w:rsid w:val="001310DD"/>
    <w:rsid w:val="00144579"/>
    <w:rsid w:val="001474BA"/>
    <w:rsid w:val="001A7179"/>
    <w:rsid w:val="001B2414"/>
    <w:rsid w:val="001B24A4"/>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428"/>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065C5"/>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A196ED-4AC4-44C2-94CF-D368AA67DFE6}">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0E5FB791-4A73-4DB7-91C3-A4A96E589598}">
  <ds:schemaRefs>
    <ds:schemaRef ds:uri="http://schemas.microsoft.com/sharepoint/v3/contenttype/forms"/>
  </ds:schemaRefs>
</ds:datastoreItem>
</file>

<file path=customXml/itemProps3.xml><?xml version="1.0" encoding="utf-8"?>
<ds:datastoreItem xmlns:ds="http://schemas.openxmlformats.org/officeDocument/2006/customXml" ds:itemID="{8AEFA969-39AF-465C-AA29-2C685DC91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339</Words>
  <Characters>1606</Characters>
  <Application>Microsoft Office Word</Application>
  <DocSecurity>0</DocSecurity>
  <Lines>50</Lines>
  <Paragraphs>20</Paragraphs>
  <ScaleCrop>false</ScaleCrop>
  <Company/>
  <LinksUpToDate>false</LinksUpToDate>
  <CharactersWithSpaces>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2026-05-26T03:36:00Z</dcterms:created>
  <dcterms:modified xsi:type="dcterms:W3CDTF">2026-05-26T03:36:00Z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