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4B5C22" w14:textId="77777777" w:rsidR="00123CC1" w:rsidRDefault="00123CC1" w:rsidP="00123CC1">
      <w:pPr>
        <w:pStyle w:val="paragraph"/>
        <w:spacing w:before="0" w:beforeAutospacing="0" w:after="0" w:afterAutospacing="0"/>
        <w:ind w:left="2160" w:right="900" w:firstLine="720"/>
        <w:textAlignment w:val="baseline"/>
        <w:rPr>
          <w:rFonts w:ascii="Segoe UI" w:hAnsi="Segoe UI" w:cs="Segoe UI"/>
          <w:sz w:val="18"/>
          <w:szCs w:val="18"/>
        </w:rPr>
      </w:pPr>
      <w:r>
        <w:rPr>
          <w:rStyle w:val="normaltextrun"/>
          <w:rFonts w:eastAsiaTheme="majorEastAsia"/>
          <w:b/>
          <w:bCs/>
          <w:sz w:val="40"/>
          <w:szCs w:val="40"/>
          <w:u w:val="single"/>
        </w:rPr>
        <w:t>Hospital Cases</w:t>
      </w:r>
      <w:r>
        <w:rPr>
          <w:rStyle w:val="eop"/>
          <w:rFonts w:eastAsiaTheme="majorEastAsia"/>
          <w:sz w:val="40"/>
          <w:szCs w:val="40"/>
        </w:rPr>
        <w:t> </w:t>
      </w:r>
    </w:p>
    <w:p w14:paraId="7E1A8B4B" w14:textId="77777777" w:rsidR="00123CC1" w:rsidRDefault="00123CC1" w:rsidP="00123CC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5B5EC1B1" w14:textId="77777777" w:rsidR="00123CC1" w:rsidRDefault="00123CC1" w:rsidP="00123CC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Kootenai County Coroner’s Office and hospital medical staffs have determined that the following guidelines will be used in determining the cause of death and the party responsible for signing the Death Certificate in Kootenai County, Idaho.</w:t>
      </w:r>
      <w:r>
        <w:rPr>
          <w:rStyle w:val="eop"/>
          <w:rFonts w:eastAsiaTheme="majorEastAsia"/>
        </w:rPr>
        <w:t> </w:t>
      </w:r>
    </w:p>
    <w:p w14:paraId="5D399078" w14:textId="77777777" w:rsidR="00123CC1" w:rsidRDefault="00123CC1" w:rsidP="00123CC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4683E63" w14:textId="77777777" w:rsidR="00123CC1" w:rsidRDefault="00123CC1" w:rsidP="00123CC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2E2E19EF" w14:textId="77777777" w:rsidR="00123CC1" w:rsidRDefault="00123CC1" w:rsidP="00123CC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9A5A19E" w14:textId="77777777" w:rsidR="00123CC1" w:rsidRDefault="00123CC1" w:rsidP="00123CC1">
      <w:pPr>
        <w:pStyle w:val="paragraph"/>
        <w:numPr>
          <w:ilvl w:val="0"/>
          <w:numId w:val="12"/>
        </w:numPr>
        <w:spacing w:before="0" w:beforeAutospacing="0" w:after="0" w:afterAutospacing="0"/>
        <w:ind w:left="1080" w:firstLine="0"/>
        <w:textAlignment w:val="baseline"/>
      </w:pPr>
      <w:r>
        <w:rPr>
          <w:rStyle w:val="normaltextrun"/>
          <w:rFonts w:eastAsiaTheme="majorEastAsia"/>
        </w:rPr>
        <w:t>All deaths in the ER, deaths where the decedent has been in the hospital less than 24 hours, or the decedent has come in unresponsive and has not regained consciousness, will be investigated by the Coroner’s Office to determine if they fall under the jurisdiction of the Coroner’s Office.</w:t>
      </w:r>
      <w:r>
        <w:rPr>
          <w:rStyle w:val="eop"/>
          <w:rFonts w:eastAsiaTheme="majorEastAsia"/>
        </w:rPr>
        <w:t> </w:t>
      </w:r>
    </w:p>
    <w:p w14:paraId="2236024B" w14:textId="77777777" w:rsidR="00123CC1" w:rsidRDefault="00123CC1" w:rsidP="00123CC1">
      <w:pPr>
        <w:pStyle w:val="paragraph"/>
        <w:numPr>
          <w:ilvl w:val="0"/>
          <w:numId w:val="13"/>
        </w:numPr>
        <w:spacing w:before="0" w:beforeAutospacing="0" w:after="0" w:afterAutospacing="0"/>
        <w:ind w:left="1080" w:firstLine="0"/>
        <w:textAlignment w:val="baseline"/>
      </w:pPr>
      <w:r>
        <w:rPr>
          <w:rStyle w:val="normaltextrun"/>
          <w:rFonts w:eastAsiaTheme="majorEastAsia"/>
        </w:rPr>
        <w:t>The physician(s) present around the time of death and/or last in attendance will take the following reasonable steps when presented with a situation where he/she is unable to determine the cause of a death of a patient:</w:t>
      </w:r>
      <w:r>
        <w:rPr>
          <w:rStyle w:val="eop"/>
          <w:rFonts w:eastAsiaTheme="majorEastAsia"/>
        </w:rPr>
        <w:t> </w:t>
      </w:r>
    </w:p>
    <w:p w14:paraId="0D02AD33" w14:textId="77777777" w:rsidR="00123CC1" w:rsidRDefault="00123CC1" w:rsidP="00123CC1">
      <w:pPr>
        <w:pStyle w:val="paragraph"/>
        <w:numPr>
          <w:ilvl w:val="0"/>
          <w:numId w:val="14"/>
        </w:numPr>
        <w:spacing w:before="0" w:beforeAutospacing="0" w:after="0" w:afterAutospacing="0"/>
        <w:ind w:left="1800" w:firstLine="0"/>
        <w:textAlignment w:val="baseline"/>
      </w:pPr>
      <w:r>
        <w:rPr>
          <w:rStyle w:val="normaltextrun"/>
          <w:rFonts w:eastAsiaTheme="majorEastAsia"/>
        </w:rPr>
        <w:t>Contact the patient’s family members, if known and available, to assist in determining the patient’s medical history.</w:t>
      </w:r>
      <w:r>
        <w:rPr>
          <w:rStyle w:val="eop"/>
          <w:rFonts w:eastAsiaTheme="majorEastAsia"/>
        </w:rPr>
        <w:t> </w:t>
      </w:r>
    </w:p>
    <w:p w14:paraId="3ABB289D" w14:textId="77777777" w:rsidR="00123CC1" w:rsidRDefault="00123CC1" w:rsidP="00123CC1">
      <w:pPr>
        <w:pStyle w:val="paragraph"/>
        <w:numPr>
          <w:ilvl w:val="0"/>
          <w:numId w:val="15"/>
        </w:numPr>
        <w:spacing w:before="0" w:beforeAutospacing="0" w:after="0" w:afterAutospacing="0"/>
        <w:ind w:left="1800" w:firstLine="0"/>
        <w:textAlignment w:val="baseline"/>
      </w:pPr>
      <w:r>
        <w:rPr>
          <w:rStyle w:val="normaltextrun"/>
          <w:rFonts w:eastAsiaTheme="majorEastAsia"/>
        </w:rPr>
        <w:t>Contact the patient’s primary care physician or family physician, if known and available, to provide medical history on the patient and to sign the death certificate.</w:t>
      </w:r>
      <w:r>
        <w:rPr>
          <w:rStyle w:val="eop"/>
          <w:rFonts w:eastAsiaTheme="majorEastAsia"/>
        </w:rPr>
        <w:t> </w:t>
      </w:r>
    </w:p>
    <w:p w14:paraId="3911D385" w14:textId="77777777" w:rsidR="00123CC1" w:rsidRDefault="00123CC1" w:rsidP="00123CC1">
      <w:pPr>
        <w:pStyle w:val="paragraph"/>
        <w:numPr>
          <w:ilvl w:val="0"/>
          <w:numId w:val="16"/>
        </w:numPr>
        <w:spacing w:before="0" w:beforeAutospacing="0" w:after="0" w:afterAutospacing="0"/>
        <w:ind w:left="1800" w:firstLine="0"/>
        <w:textAlignment w:val="baseline"/>
      </w:pPr>
      <w:r>
        <w:rPr>
          <w:rStyle w:val="normaltextrun"/>
          <w:rFonts w:eastAsiaTheme="majorEastAsia"/>
        </w:rPr>
        <w:t>Determine the medical history of the patient if possible.</w:t>
      </w:r>
      <w:r>
        <w:rPr>
          <w:rStyle w:val="eop"/>
          <w:rFonts w:eastAsiaTheme="majorEastAsia"/>
        </w:rPr>
        <w:t> </w:t>
      </w:r>
    </w:p>
    <w:p w14:paraId="7BEC6FE7" w14:textId="77777777" w:rsidR="00123CC1" w:rsidRDefault="00123CC1" w:rsidP="00123CC1">
      <w:pPr>
        <w:pStyle w:val="paragraph"/>
        <w:numPr>
          <w:ilvl w:val="0"/>
          <w:numId w:val="17"/>
        </w:numPr>
        <w:spacing w:before="0" w:beforeAutospacing="0" w:after="0" w:afterAutospacing="0"/>
        <w:ind w:left="1800" w:firstLine="0"/>
        <w:textAlignment w:val="baseline"/>
      </w:pPr>
      <w:r>
        <w:rPr>
          <w:rStyle w:val="normaltextrun"/>
          <w:rFonts w:eastAsiaTheme="majorEastAsia"/>
        </w:rPr>
        <w:t>Consider other available medical history of the patient if possible.</w:t>
      </w:r>
      <w:r>
        <w:rPr>
          <w:rStyle w:val="eop"/>
          <w:rFonts w:eastAsiaTheme="majorEastAsia"/>
        </w:rPr>
        <w:t> </w:t>
      </w:r>
    </w:p>
    <w:p w14:paraId="388DE1E9" w14:textId="77777777" w:rsidR="00123CC1" w:rsidRDefault="00123CC1" w:rsidP="00123CC1">
      <w:pPr>
        <w:pStyle w:val="paragraph"/>
        <w:numPr>
          <w:ilvl w:val="0"/>
          <w:numId w:val="18"/>
        </w:numPr>
        <w:spacing w:before="0" w:beforeAutospacing="0" w:after="0" w:afterAutospacing="0"/>
        <w:ind w:left="1080" w:firstLine="0"/>
        <w:textAlignment w:val="baseline"/>
      </w:pPr>
      <w:r>
        <w:rPr>
          <w:rStyle w:val="normaltextrun"/>
          <w:rFonts w:eastAsiaTheme="majorEastAsia"/>
        </w:rPr>
        <w:t xml:space="preserve">If the physician(s) cannot in good faith exclude unnatural causes of death, he/she shall notify the Kootenai County </w:t>
      </w:r>
      <w:proofErr w:type="gramStart"/>
      <w:r>
        <w:rPr>
          <w:rStyle w:val="normaltextrun"/>
          <w:rFonts w:eastAsiaTheme="majorEastAsia"/>
        </w:rPr>
        <w:t>Coroner</w:t>
      </w:r>
      <w:proofErr w:type="gramEnd"/>
      <w:r>
        <w:rPr>
          <w:rStyle w:val="normaltextrun"/>
          <w:rFonts w:eastAsiaTheme="majorEastAsia"/>
        </w:rPr>
        <w:t xml:space="preserve"> and the Coroner shall inquire in the patient’s death. If the Coroner determines that the deceased died of causes within the </w:t>
      </w:r>
      <w:proofErr w:type="gramStart"/>
      <w:r>
        <w:rPr>
          <w:rStyle w:val="normaltextrun"/>
          <w:rFonts w:eastAsiaTheme="majorEastAsia"/>
        </w:rPr>
        <w:t>Coroner’s</w:t>
      </w:r>
      <w:proofErr w:type="gramEnd"/>
      <w:r>
        <w:rPr>
          <w:rStyle w:val="normaltextrun"/>
          <w:rFonts w:eastAsiaTheme="majorEastAsia"/>
        </w:rPr>
        <w:t xml:space="preserve"> jurisdiction, the </w:t>
      </w:r>
      <w:proofErr w:type="gramStart"/>
      <w:r>
        <w:rPr>
          <w:rStyle w:val="normaltextrun"/>
          <w:rFonts w:eastAsiaTheme="majorEastAsia"/>
        </w:rPr>
        <w:t>Coroner</w:t>
      </w:r>
      <w:proofErr w:type="gramEnd"/>
      <w:r>
        <w:rPr>
          <w:rStyle w:val="normaltextrun"/>
          <w:rFonts w:eastAsiaTheme="majorEastAsia"/>
        </w:rPr>
        <w:t xml:space="preserve"> will proceed with an investigation into the cause of </w:t>
      </w:r>
      <w:proofErr w:type="gramStart"/>
      <w:r>
        <w:rPr>
          <w:rStyle w:val="normaltextrun"/>
          <w:rFonts w:eastAsiaTheme="majorEastAsia"/>
        </w:rPr>
        <w:t>death, and</w:t>
      </w:r>
      <w:proofErr w:type="gramEnd"/>
      <w:r>
        <w:rPr>
          <w:rStyle w:val="normaltextrun"/>
          <w:rFonts w:eastAsiaTheme="majorEastAsia"/>
        </w:rPr>
        <w:t xml:space="preserve"> otherwise act in accordance with State and Local law.</w:t>
      </w:r>
      <w:r>
        <w:rPr>
          <w:rStyle w:val="eop"/>
          <w:rFonts w:eastAsiaTheme="majorEastAsia"/>
        </w:rPr>
        <w:t> </w:t>
      </w:r>
    </w:p>
    <w:p w14:paraId="36207E30" w14:textId="77777777" w:rsidR="00123CC1" w:rsidRDefault="00123CC1" w:rsidP="00123CC1">
      <w:pPr>
        <w:pStyle w:val="paragraph"/>
        <w:numPr>
          <w:ilvl w:val="0"/>
          <w:numId w:val="19"/>
        </w:numPr>
        <w:spacing w:before="0" w:beforeAutospacing="0" w:after="0" w:afterAutospacing="0"/>
        <w:ind w:left="1080" w:firstLine="0"/>
        <w:textAlignment w:val="baseline"/>
      </w:pPr>
      <w:r>
        <w:rPr>
          <w:rStyle w:val="normaltextrun"/>
          <w:rFonts w:eastAsiaTheme="majorEastAsia"/>
        </w:rPr>
        <w:t xml:space="preserve">If the Coroner determines that the decedent died of causes not within the </w:t>
      </w:r>
      <w:proofErr w:type="gramStart"/>
      <w:r>
        <w:rPr>
          <w:rStyle w:val="normaltextrun"/>
          <w:rFonts w:eastAsiaTheme="majorEastAsia"/>
        </w:rPr>
        <w:t>Coroner’s</w:t>
      </w:r>
      <w:proofErr w:type="gramEnd"/>
      <w:r>
        <w:rPr>
          <w:rStyle w:val="normaltextrun"/>
          <w:rFonts w:eastAsiaTheme="majorEastAsia"/>
        </w:rPr>
        <w:t xml:space="preserve"> jurisdiction, then the </w:t>
      </w:r>
      <w:proofErr w:type="gramStart"/>
      <w:r>
        <w:rPr>
          <w:rStyle w:val="normaltextrun"/>
          <w:rFonts w:eastAsiaTheme="majorEastAsia"/>
        </w:rPr>
        <w:t>Coroner</w:t>
      </w:r>
      <w:proofErr w:type="gramEnd"/>
      <w:r>
        <w:rPr>
          <w:rStyle w:val="normaltextrun"/>
          <w:rFonts w:eastAsiaTheme="majorEastAsia"/>
        </w:rPr>
        <w:t xml:space="preserve"> shall provide the primary physician notification of their decision.</w:t>
      </w:r>
      <w:r>
        <w:rPr>
          <w:rStyle w:val="eop"/>
          <w:rFonts w:eastAsiaTheme="majorEastAsia"/>
        </w:rPr>
        <w:t> </w:t>
      </w:r>
    </w:p>
    <w:p w14:paraId="1795C969" w14:textId="77777777" w:rsidR="00123CC1" w:rsidRDefault="00123CC1" w:rsidP="00123CC1">
      <w:pPr>
        <w:pStyle w:val="paragraph"/>
        <w:numPr>
          <w:ilvl w:val="0"/>
          <w:numId w:val="20"/>
        </w:numPr>
        <w:spacing w:before="0" w:beforeAutospacing="0" w:after="0" w:afterAutospacing="0"/>
        <w:ind w:left="1080" w:firstLine="0"/>
        <w:textAlignment w:val="baseline"/>
      </w:pPr>
      <w:r>
        <w:rPr>
          <w:rStyle w:val="normaltextrun"/>
          <w:rFonts w:eastAsiaTheme="majorEastAsia"/>
        </w:rPr>
        <w:t>The attending physician will then be responsible for the signing of the Death Certificate in accordance with the appropriate laws, rules, regulations, and standards.</w:t>
      </w:r>
      <w:r>
        <w:rPr>
          <w:rStyle w:val="eop"/>
          <w:rFonts w:eastAsiaTheme="majorEastAsia"/>
        </w:rPr>
        <w:t> </w:t>
      </w:r>
    </w:p>
    <w:p w14:paraId="685C900B" w14:textId="77777777" w:rsidR="00123CC1" w:rsidRDefault="00123CC1" w:rsidP="00123CC1">
      <w:pPr>
        <w:pStyle w:val="paragraph"/>
        <w:numPr>
          <w:ilvl w:val="0"/>
          <w:numId w:val="21"/>
        </w:numPr>
        <w:spacing w:before="0" w:beforeAutospacing="0" w:after="0" w:afterAutospacing="0"/>
        <w:ind w:left="1080" w:firstLine="0"/>
        <w:textAlignment w:val="baseline"/>
      </w:pPr>
      <w:r>
        <w:rPr>
          <w:rStyle w:val="normaltextrun"/>
          <w:rFonts w:eastAsiaTheme="majorEastAsia"/>
        </w:rPr>
        <w:t>If the physician(s) is/are still unable to state the cause of death based upon all the information available, then the attending physician may request a hospital autopsy be performed to determine the cause of death.</w:t>
      </w:r>
      <w:r>
        <w:rPr>
          <w:rStyle w:val="eop"/>
          <w:rFonts w:eastAsiaTheme="majorEastAsia"/>
        </w:rPr>
        <w:t> </w:t>
      </w:r>
    </w:p>
    <w:p w14:paraId="420EDA1A" w14:textId="77777777" w:rsidR="00123CC1" w:rsidRDefault="00123CC1" w:rsidP="00123CC1">
      <w:pPr>
        <w:pStyle w:val="paragraph"/>
        <w:numPr>
          <w:ilvl w:val="0"/>
          <w:numId w:val="22"/>
        </w:numPr>
        <w:spacing w:before="0" w:beforeAutospacing="0" w:after="0" w:afterAutospacing="0"/>
        <w:ind w:left="1080" w:firstLine="0"/>
        <w:textAlignment w:val="baseline"/>
      </w:pPr>
      <w:r>
        <w:rPr>
          <w:rStyle w:val="normaltextrun"/>
          <w:rFonts w:eastAsiaTheme="majorEastAsia"/>
        </w:rPr>
        <w:t>Non-descript causes of death i.e. - cardiac arrest, cardiopulmonary arrest, etc.… will not be accepted by Idaho Vital Statistics unless they have an acceptable underlying cause of death i.e. hypertension, coronary artery disease, etc.…</w:t>
      </w:r>
      <w:r>
        <w:rPr>
          <w:rStyle w:val="eop"/>
          <w:rFonts w:eastAsiaTheme="majorEastAsia"/>
        </w:rPr>
        <w:t> </w:t>
      </w:r>
    </w:p>
    <w:p w14:paraId="4ED1E4B2" w14:textId="77777777" w:rsidR="00123CC1" w:rsidRDefault="00123CC1" w:rsidP="00123CC1">
      <w:pPr>
        <w:pStyle w:val="paragraph"/>
        <w:numPr>
          <w:ilvl w:val="0"/>
          <w:numId w:val="23"/>
        </w:numPr>
        <w:spacing w:before="0" w:beforeAutospacing="0" w:after="0" w:afterAutospacing="0"/>
        <w:ind w:left="1080" w:firstLine="0"/>
        <w:textAlignment w:val="baseline"/>
      </w:pPr>
      <w:r>
        <w:rPr>
          <w:rStyle w:val="normaltextrun"/>
          <w:rFonts w:eastAsiaTheme="majorEastAsia"/>
        </w:rPr>
        <w:t>“Unknown” or “Undetermined” will not be accepted as valid underlying causes of death.</w:t>
      </w:r>
      <w:r>
        <w:rPr>
          <w:rStyle w:val="eop"/>
          <w:rFonts w:eastAsiaTheme="majorEastAsia"/>
        </w:rPr>
        <w:t> </w:t>
      </w:r>
    </w:p>
    <w:p w14:paraId="653F64EB" w14:textId="77777777" w:rsidR="00123CC1" w:rsidRDefault="00123CC1" w:rsidP="00123CC1">
      <w:pPr>
        <w:pStyle w:val="paragraph"/>
        <w:numPr>
          <w:ilvl w:val="0"/>
          <w:numId w:val="24"/>
        </w:numPr>
        <w:spacing w:before="0" w:beforeAutospacing="0" w:after="0" w:afterAutospacing="0"/>
        <w:ind w:left="1080" w:firstLine="0"/>
        <w:textAlignment w:val="baseline"/>
      </w:pPr>
      <w:r>
        <w:rPr>
          <w:rStyle w:val="normaltextrun"/>
          <w:rFonts w:eastAsiaTheme="majorEastAsia"/>
        </w:rPr>
        <w:t>When there is a disagreement about whether the decedent falls under the jurisdiction of the Coroner’s Office or the Hospital, the investigator may contact the on-call supervisor for an additional review of the case to determine jurisdiction.</w:t>
      </w:r>
      <w:r>
        <w:rPr>
          <w:rStyle w:val="eop"/>
          <w:rFonts w:eastAsiaTheme="majorEastAsia"/>
        </w:rPr>
        <w:t> </w:t>
      </w:r>
    </w:p>
    <w:p w14:paraId="4C0F668F" w14:textId="77777777" w:rsidR="00123CC1" w:rsidRDefault="00123CC1" w:rsidP="00123CC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57258CA"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0EC4F489"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lastRenderedPageBreak/>
        <w:t> </w:t>
      </w:r>
    </w:p>
    <w:p w14:paraId="34E5D342"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6998FA97" w14:textId="77777777" w:rsidR="00E02C82" w:rsidRPr="000F49F0" w:rsidRDefault="00E02C82" w:rsidP="000F49F0">
      <w:pPr>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6122C"/>
    <w:multiLevelType w:val="multilevel"/>
    <w:tmpl w:val="AB020B8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D87231"/>
    <w:multiLevelType w:val="multilevel"/>
    <w:tmpl w:val="320408B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DD045C"/>
    <w:multiLevelType w:val="multilevel"/>
    <w:tmpl w:val="C3CACB0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0C3421"/>
    <w:multiLevelType w:val="multilevel"/>
    <w:tmpl w:val="37FC387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8C74870"/>
    <w:multiLevelType w:val="multilevel"/>
    <w:tmpl w:val="4A6EC3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1861285"/>
    <w:multiLevelType w:val="multilevel"/>
    <w:tmpl w:val="6E46E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2AB65F8"/>
    <w:multiLevelType w:val="multilevel"/>
    <w:tmpl w:val="2F6A3C7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4244AEB"/>
    <w:multiLevelType w:val="multilevel"/>
    <w:tmpl w:val="DAB85B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50B055D"/>
    <w:multiLevelType w:val="multilevel"/>
    <w:tmpl w:val="E43C81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6777A22"/>
    <w:multiLevelType w:val="multilevel"/>
    <w:tmpl w:val="8418F5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7734349"/>
    <w:multiLevelType w:val="multilevel"/>
    <w:tmpl w:val="09F09BBC"/>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4EEB5352"/>
    <w:multiLevelType w:val="multilevel"/>
    <w:tmpl w:val="7070F0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0E171B3"/>
    <w:multiLevelType w:val="multilevel"/>
    <w:tmpl w:val="3D58AA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3115B58"/>
    <w:multiLevelType w:val="multilevel"/>
    <w:tmpl w:val="0AFA9A7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6554138D"/>
    <w:multiLevelType w:val="multilevel"/>
    <w:tmpl w:val="560A56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74B6505"/>
    <w:multiLevelType w:val="multilevel"/>
    <w:tmpl w:val="8AE2834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C3445DA"/>
    <w:multiLevelType w:val="multilevel"/>
    <w:tmpl w:val="1CA8A6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E6A3042"/>
    <w:multiLevelType w:val="multilevel"/>
    <w:tmpl w:val="1E52869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ED40DF4"/>
    <w:multiLevelType w:val="multilevel"/>
    <w:tmpl w:val="F7C263D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1E77178"/>
    <w:multiLevelType w:val="multilevel"/>
    <w:tmpl w:val="C6EE295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24B6EC6"/>
    <w:multiLevelType w:val="multilevel"/>
    <w:tmpl w:val="E244E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64625F3"/>
    <w:multiLevelType w:val="multilevel"/>
    <w:tmpl w:val="2F32064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85940B4"/>
    <w:multiLevelType w:val="multilevel"/>
    <w:tmpl w:val="1AE2ACC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BE967A3"/>
    <w:multiLevelType w:val="multilevel"/>
    <w:tmpl w:val="665689C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16cid:durableId="1544368795">
    <w:abstractNumId w:val="5"/>
  </w:num>
  <w:num w:numId="2" w16cid:durableId="662440743">
    <w:abstractNumId w:val="12"/>
  </w:num>
  <w:num w:numId="3" w16cid:durableId="1846506254">
    <w:abstractNumId w:val="14"/>
  </w:num>
  <w:num w:numId="4" w16cid:durableId="1501433971">
    <w:abstractNumId w:val="21"/>
  </w:num>
  <w:num w:numId="5" w16cid:durableId="65107941">
    <w:abstractNumId w:val="4"/>
  </w:num>
  <w:num w:numId="6" w16cid:durableId="1960531479">
    <w:abstractNumId w:val="20"/>
  </w:num>
  <w:num w:numId="7" w16cid:durableId="1443769324">
    <w:abstractNumId w:val="11"/>
  </w:num>
  <w:num w:numId="8" w16cid:durableId="263995393">
    <w:abstractNumId w:val="22"/>
  </w:num>
  <w:num w:numId="9" w16cid:durableId="1931156471">
    <w:abstractNumId w:val="6"/>
  </w:num>
  <w:num w:numId="10" w16cid:durableId="1775124875">
    <w:abstractNumId w:val="18"/>
  </w:num>
  <w:num w:numId="11" w16cid:durableId="1312057446">
    <w:abstractNumId w:val="1"/>
  </w:num>
  <w:num w:numId="12" w16cid:durableId="1896774093">
    <w:abstractNumId w:val="9"/>
  </w:num>
  <w:num w:numId="13" w16cid:durableId="1616250790">
    <w:abstractNumId w:val="16"/>
  </w:num>
  <w:num w:numId="14" w16cid:durableId="1882089133">
    <w:abstractNumId w:val="3"/>
  </w:num>
  <w:num w:numId="15" w16cid:durableId="460074752">
    <w:abstractNumId w:val="13"/>
  </w:num>
  <w:num w:numId="16" w16cid:durableId="277683365">
    <w:abstractNumId w:val="23"/>
  </w:num>
  <w:num w:numId="17" w16cid:durableId="187373476">
    <w:abstractNumId w:val="10"/>
  </w:num>
  <w:num w:numId="18" w16cid:durableId="472478823">
    <w:abstractNumId w:val="7"/>
  </w:num>
  <w:num w:numId="19" w16cid:durableId="1597325720">
    <w:abstractNumId w:val="0"/>
  </w:num>
  <w:num w:numId="20" w16cid:durableId="768084611">
    <w:abstractNumId w:val="15"/>
  </w:num>
  <w:num w:numId="21" w16cid:durableId="1333920447">
    <w:abstractNumId w:val="17"/>
  </w:num>
  <w:num w:numId="22" w16cid:durableId="1603805418">
    <w:abstractNumId w:val="8"/>
  </w:num>
  <w:num w:numId="23" w16cid:durableId="1655059877">
    <w:abstractNumId w:val="2"/>
  </w:num>
  <w:num w:numId="24" w16cid:durableId="153224415">
    <w:abstractNumId w:val="1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296F"/>
    <w:rsid w:val="000F49F0"/>
    <w:rsid w:val="000F6AF8"/>
    <w:rsid w:val="001156CD"/>
    <w:rsid w:val="00123CC1"/>
    <w:rsid w:val="001310DD"/>
    <w:rsid w:val="00144579"/>
    <w:rsid w:val="001474BA"/>
    <w:rsid w:val="001A7179"/>
    <w:rsid w:val="001B2414"/>
    <w:rsid w:val="001B24A4"/>
    <w:rsid w:val="00250EAA"/>
    <w:rsid w:val="002620F1"/>
    <w:rsid w:val="0026573F"/>
    <w:rsid w:val="00266066"/>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C7D3E"/>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107A"/>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80F08"/>
    <w:rsid w:val="00B82BA9"/>
    <w:rsid w:val="00B8333C"/>
    <w:rsid w:val="00BB07D4"/>
    <w:rsid w:val="00C057F9"/>
    <w:rsid w:val="00C13DAD"/>
    <w:rsid w:val="00C72C0E"/>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B0B6CC3E-8F4D-4D38-96A4-7328102DE0AA}">
  <ds:schemaRefs>
    <ds:schemaRef ds:uri="http://schemas.microsoft.com/sharepoint/v3/contenttype/forms"/>
  </ds:schemaRefs>
</ds:datastoreItem>
</file>

<file path=customXml/itemProps2.xml><?xml version="1.0" encoding="utf-8"?>
<ds:datastoreItem xmlns:ds="http://schemas.openxmlformats.org/officeDocument/2006/customXml" ds:itemID="{D736F0C3-0E35-41EA-B970-05BB81B463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8E08FF3-08CF-4DD1-913C-3CC2725B46FA}">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481</Words>
  <Characters>2278</Characters>
  <Application>Microsoft Office Word</Application>
  <DocSecurity>0</DocSecurity>
  <Lines>71</Lines>
  <Paragraphs>29</Paragraphs>
  <ScaleCrop>false</ScaleCrop>
  <Company/>
  <LinksUpToDate>false</LinksUpToDate>
  <CharactersWithSpaces>2730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2026-05-26T03:22:00Z</dcterms:created>
  <dcterms:modified xsi:type="dcterms:W3CDTF">2026-05-26T03:22:00Z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