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872A0"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32"/>
          <w:szCs w:val="32"/>
          <w:u w:val="single"/>
        </w:rPr>
        <w:t>Documenting The Decedent’s Medical History, Mental Health, And Social History</w:t>
      </w:r>
      <w:r>
        <w:rPr>
          <w:rStyle w:val="eop"/>
          <w:rFonts w:eastAsiaTheme="majorEastAsia"/>
          <w:sz w:val="32"/>
          <w:szCs w:val="32"/>
        </w:rPr>
        <w:t> </w:t>
      </w:r>
    </w:p>
    <w:p w14:paraId="72F21294"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BBFA948"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12CE1031"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This policy will establish procedures for the proper collection of information concerning a decedent’s medical history, mental health history and social history to aid in the investigation process.   </w:t>
      </w:r>
      <w:r>
        <w:rPr>
          <w:rStyle w:val="eop"/>
          <w:rFonts w:eastAsiaTheme="majorEastAsia"/>
        </w:rPr>
        <w:t> </w:t>
      </w:r>
    </w:p>
    <w:p w14:paraId="064FE3E6"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41E69598"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A) Medical History </w:t>
      </w:r>
      <w:r>
        <w:rPr>
          <w:rStyle w:val="eop"/>
          <w:rFonts w:eastAsiaTheme="majorEastAsia"/>
        </w:rPr>
        <w:t> </w:t>
      </w:r>
    </w:p>
    <w:p w14:paraId="4605B40C"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Documenting medical signs or symptoms prior to death determines the need for subsequent examinations. The relationship between disease and injury may play a role in the cause, manner and circumstances of the death. Obtaining a thorough medical history will </w:t>
      </w:r>
      <w:proofErr w:type="gramStart"/>
      <w:r>
        <w:rPr>
          <w:rStyle w:val="normaltextrun"/>
          <w:rFonts w:eastAsiaTheme="majorEastAsia"/>
        </w:rPr>
        <w:t>focus</w:t>
      </w:r>
      <w:proofErr w:type="gramEnd"/>
      <w:r>
        <w:rPr>
          <w:rStyle w:val="normaltextrun"/>
          <w:rFonts w:eastAsiaTheme="majorEastAsia"/>
        </w:rPr>
        <w:t xml:space="preserve"> the investigation and can help determine the need for a </w:t>
      </w:r>
      <w:proofErr w:type="gramStart"/>
      <w:r>
        <w:rPr>
          <w:rStyle w:val="normaltextrun"/>
          <w:rFonts w:eastAsiaTheme="majorEastAsia"/>
        </w:rPr>
        <w:t>post mortem</w:t>
      </w:r>
      <w:proofErr w:type="gramEnd"/>
      <w:r>
        <w:rPr>
          <w:rStyle w:val="normaltextrun"/>
          <w:rFonts w:eastAsiaTheme="majorEastAsia"/>
        </w:rPr>
        <w:t xml:space="preserve"> examination or laboratory tests. </w:t>
      </w:r>
      <w:r>
        <w:rPr>
          <w:rStyle w:val="eop"/>
          <w:rFonts w:eastAsiaTheme="majorEastAsia"/>
        </w:rPr>
        <w:t> </w:t>
      </w:r>
    </w:p>
    <w:p w14:paraId="63D9034E" w14:textId="77777777" w:rsidR="003D0FC7" w:rsidRDefault="003D0FC7" w:rsidP="003D0FC7">
      <w:pPr>
        <w:pStyle w:val="paragraph"/>
        <w:spacing w:before="0" w:beforeAutospacing="0" w:after="0" w:afterAutospacing="0"/>
        <w:ind w:right="900" w:firstLine="360"/>
        <w:textAlignment w:val="baseline"/>
        <w:rPr>
          <w:rFonts w:ascii="Segoe UI" w:hAnsi="Segoe UI" w:cs="Segoe UI"/>
          <w:sz w:val="18"/>
          <w:szCs w:val="18"/>
        </w:rPr>
      </w:pPr>
      <w:r>
        <w:rPr>
          <w:rStyle w:val="normaltextrun"/>
          <w:rFonts w:eastAsiaTheme="majorEastAsia"/>
          <w:b/>
          <w:bCs/>
          <w:i/>
          <w:iCs/>
        </w:rPr>
        <w:t>The following information should be documented:</w:t>
      </w:r>
      <w:r>
        <w:rPr>
          <w:rStyle w:val="eop"/>
          <w:rFonts w:eastAsiaTheme="majorEastAsia"/>
        </w:rPr>
        <w:t> </w:t>
      </w:r>
    </w:p>
    <w:p w14:paraId="1760A41A" w14:textId="77777777" w:rsidR="003D0FC7" w:rsidRDefault="003D0FC7" w:rsidP="003D0FC7">
      <w:pPr>
        <w:pStyle w:val="paragraph"/>
        <w:spacing w:before="0" w:beforeAutospacing="0" w:after="0" w:afterAutospacing="0"/>
        <w:ind w:right="900" w:firstLine="360"/>
        <w:textAlignment w:val="baseline"/>
        <w:rPr>
          <w:rFonts w:ascii="Segoe UI" w:hAnsi="Segoe UI" w:cs="Segoe UI"/>
          <w:sz w:val="18"/>
          <w:szCs w:val="18"/>
        </w:rPr>
      </w:pPr>
      <w:r>
        <w:rPr>
          <w:rStyle w:val="normaltextrun"/>
          <w:rFonts w:eastAsiaTheme="majorEastAsia"/>
        </w:rPr>
        <w:t xml:space="preserve">1. The decedent’s medical history, including medications taken, alcohol and drug use and </w:t>
      </w:r>
      <w:r>
        <w:rPr>
          <w:rStyle w:val="tabchar"/>
          <w:rFonts w:ascii="Calibri" w:eastAsiaTheme="majorEastAsia" w:hAnsi="Calibri" w:cs="Calibri"/>
        </w:rPr>
        <w:tab/>
      </w:r>
      <w:r>
        <w:rPr>
          <w:rStyle w:val="normaltextrun"/>
          <w:rFonts w:eastAsiaTheme="majorEastAsia"/>
        </w:rPr>
        <w:t xml:space="preserve">family medical history. This information can be obtained from family members and/or </w:t>
      </w:r>
      <w:r>
        <w:rPr>
          <w:rStyle w:val="tabchar"/>
          <w:rFonts w:ascii="Calibri" w:eastAsiaTheme="majorEastAsia" w:hAnsi="Calibri" w:cs="Calibri"/>
        </w:rPr>
        <w:tab/>
      </w:r>
      <w:r>
        <w:rPr>
          <w:rStyle w:val="tabchar"/>
          <w:rFonts w:ascii="Calibri" w:eastAsiaTheme="majorEastAsia" w:hAnsi="Calibri" w:cs="Calibri"/>
        </w:rPr>
        <w:tab/>
      </w:r>
      <w:r>
        <w:rPr>
          <w:rStyle w:val="normaltextrun"/>
          <w:rFonts w:eastAsiaTheme="majorEastAsia"/>
        </w:rPr>
        <w:t>witnesses.</w:t>
      </w:r>
      <w:r>
        <w:rPr>
          <w:rStyle w:val="eop"/>
          <w:rFonts w:eastAsiaTheme="majorEastAsia"/>
        </w:rPr>
        <w:t> </w:t>
      </w:r>
    </w:p>
    <w:p w14:paraId="718427F9" w14:textId="77777777" w:rsidR="003D0FC7" w:rsidRDefault="003D0FC7" w:rsidP="003D0FC7">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rPr>
        <w:t xml:space="preserve">2. Medical records will be requested from treating hospitals, primary physicians, clinics and a   </w:t>
      </w:r>
      <w:r>
        <w:rPr>
          <w:rStyle w:val="tabchar"/>
          <w:rFonts w:ascii="Calibri" w:eastAsiaTheme="majorEastAsia" w:hAnsi="Calibri" w:cs="Calibri"/>
        </w:rPr>
        <w:tab/>
      </w:r>
      <w:r>
        <w:rPr>
          <w:rStyle w:val="normaltextrun"/>
          <w:rFonts w:eastAsiaTheme="majorEastAsia"/>
        </w:rPr>
        <w:t>Board of Pharmacy report from the State of Idaho. </w:t>
      </w:r>
      <w:r>
        <w:rPr>
          <w:rStyle w:val="eop"/>
          <w:rFonts w:eastAsiaTheme="majorEastAsia"/>
        </w:rPr>
        <w:t> </w:t>
      </w:r>
    </w:p>
    <w:p w14:paraId="75FE73F0"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DB2C163"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B) Mental Health History</w:t>
      </w:r>
      <w:r>
        <w:rPr>
          <w:rStyle w:val="eop"/>
          <w:rFonts w:eastAsiaTheme="majorEastAsia"/>
        </w:rPr>
        <w:t> </w:t>
      </w:r>
    </w:p>
    <w:p w14:paraId="0DB1CEE8"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decedent’s mental health history can provide insight into the behavior and state of mind of the individual. That insight may produce clues that will aid in establishing the cause, manner and circumstances of the death.</w:t>
      </w:r>
      <w:r>
        <w:rPr>
          <w:rStyle w:val="eop"/>
          <w:rFonts w:eastAsiaTheme="majorEastAsia"/>
        </w:rPr>
        <w:t> </w:t>
      </w:r>
    </w:p>
    <w:p w14:paraId="795B48E2" w14:textId="77777777" w:rsidR="003D0FC7" w:rsidRDefault="003D0FC7" w:rsidP="003D0FC7">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rPr>
        <w:t>1. Family interviews regarding a decedents mental health is important. Interview witnesses, roommates, spouses, parents and other family members that might have information pertinent to the case. </w:t>
      </w:r>
      <w:r>
        <w:rPr>
          <w:rStyle w:val="eop"/>
          <w:rFonts w:eastAsiaTheme="majorEastAsia"/>
        </w:rPr>
        <w:t> </w:t>
      </w:r>
    </w:p>
    <w:p w14:paraId="3E08058E" w14:textId="77777777" w:rsidR="003D0FC7" w:rsidRDefault="003D0FC7" w:rsidP="003D0FC7">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rPr>
        <w:t>2. Records will be obtained from Mental Health Hospitals, Clinics and medical providers. </w:t>
      </w:r>
      <w:r>
        <w:rPr>
          <w:rStyle w:val="eop"/>
          <w:rFonts w:eastAsiaTheme="majorEastAsia"/>
        </w:rPr>
        <w:t> </w:t>
      </w:r>
    </w:p>
    <w:p w14:paraId="54C9F160"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 xml:space="preserve">      </w:t>
      </w:r>
      <w:r>
        <w:rPr>
          <w:rStyle w:val="normaltextrun"/>
          <w:rFonts w:eastAsiaTheme="majorEastAsia"/>
        </w:rPr>
        <w:t>3. Suicide checklist will be completed on all suspected suicides. </w:t>
      </w:r>
      <w:r>
        <w:rPr>
          <w:rStyle w:val="eop"/>
          <w:rFonts w:eastAsiaTheme="majorEastAsia"/>
        </w:rPr>
        <w:t> </w:t>
      </w:r>
    </w:p>
    <w:p w14:paraId="623DD314"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C) Social History</w:t>
      </w:r>
      <w:r>
        <w:rPr>
          <w:rStyle w:val="eop"/>
          <w:rFonts w:eastAsiaTheme="majorEastAsia"/>
        </w:rPr>
        <w:t> </w:t>
      </w:r>
    </w:p>
    <w:p w14:paraId="78D792FC"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decedent’s social history can provide further insight that may produce clues that will aid in establishing the cause, manner and circumstances of the death. When collecting relevant social history, the coroner or his/her representative should investigate the following issues concerning the decedent:</w:t>
      </w:r>
      <w:r>
        <w:rPr>
          <w:rStyle w:val="eop"/>
          <w:rFonts w:eastAsiaTheme="majorEastAsia"/>
        </w:rPr>
        <w:t> </w:t>
      </w:r>
    </w:p>
    <w:p w14:paraId="012EBCE5"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9114DAB" w14:textId="77777777" w:rsidR="003D0FC7" w:rsidRDefault="003D0FC7" w:rsidP="003D0FC7">
      <w:pPr>
        <w:pStyle w:val="paragraph"/>
        <w:numPr>
          <w:ilvl w:val="0"/>
          <w:numId w:val="55"/>
        </w:numPr>
        <w:spacing w:before="0" w:beforeAutospacing="0" w:after="0" w:afterAutospacing="0"/>
        <w:ind w:left="1080" w:firstLine="0"/>
        <w:textAlignment w:val="baseline"/>
      </w:pPr>
      <w:r>
        <w:rPr>
          <w:rStyle w:val="normaltextrun"/>
          <w:rFonts w:eastAsiaTheme="majorEastAsia"/>
        </w:rPr>
        <w:t>His/her family.</w:t>
      </w:r>
      <w:r>
        <w:rPr>
          <w:rStyle w:val="eop"/>
          <w:rFonts w:eastAsiaTheme="majorEastAsia"/>
        </w:rPr>
        <w:t> </w:t>
      </w:r>
    </w:p>
    <w:p w14:paraId="27DD86F8" w14:textId="77777777" w:rsidR="003D0FC7" w:rsidRDefault="003D0FC7" w:rsidP="003D0FC7">
      <w:pPr>
        <w:pStyle w:val="paragraph"/>
        <w:numPr>
          <w:ilvl w:val="0"/>
          <w:numId w:val="56"/>
        </w:numPr>
        <w:spacing w:before="0" w:beforeAutospacing="0" w:after="0" w:afterAutospacing="0"/>
        <w:ind w:left="1080" w:firstLine="0"/>
        <w:textAlignment w:val="baseline"/>
      </w:pPr>
      <w:r>
        <w:rPr>
          <w:rStyle w:val="normaltextrun"/>
          <w:rFonts w:eastAsiaTheme="majorEastAsia"/>
        </w:rPr>
        <w:t>Marital or domestic situation.</w:t>
      </w:r>
      <w:r>
        <w:rPr>
          <w:rStyle w:val="eop"/>
          <w:rFonts w:eastAsiaTheme="majorEastAsia"/>
        </w:rPr>
        <w:t> </w:t>
      </w:r>
    </w:p>
    <w:p w14:paraId="788FA20B" w14:textId="77777777" w:rsidR="003D0FC7" w:rsidRDefault="003D0FC7" w:rsidP="003D0FC7">
      <w:pPr>
        <w:pStyle w:val="paragraph"/>
        <w:numPr>
          <w:ilvl w:val="0"/>
          <w:numId w:val="57"/>
        </w:numPr>
        <w:spacing w:before="0" w:beforeAutospacing="0" w:after="0" w:afterAutospacing="0"/>
        <w:ind w:left="1080" w:firstLine="0"/>
        <w:textAlignment w:val="baseline"/>
      </w:pPr>
      <w:r>
        <w:rPr>
          <w:rStyle w:val="normaltextrun"/>
          <w:rFonts w:eastAsiaTheme="majorEastAsia"/>
        </w:rPr>
        <w:t>Employment.</w:t>
      </w:r>
      <w:r>
        <w:rPr>
          <w:rStyle w:val="eop"/>
          <w:rFonts w:eastAsiaTheme="majorEastAsia"/>
        </w:rPr>
        <w:t> </w:t>
      </w:r>
    </w:p>
    <w:p w14:paraId="39488AEA" w14:textId="77777777" w:rsidR="003D0FC7" w:rsidRDefault="003D0FC7" w:rsidP="003D0FC7">
      <w:pPr>
        <w:pStyle w:val="paragraph"/>
        <w:numPr>
          <w:ilvl w:val="0"/>
          <w:numId w:val="58"/>
        </w:numPr>
        <w:spacing w:before="0" w:beforeAutospacing="0" w:after="0" w:afterAutospacing="0"/>
        <w:ind w:left="1080" w:firstLine="0"/>
        <w:textAlignment w:val="baseline"/>
      </w:pPr>
      <w:r>
        <w:rPr>
          <w:rStyle w:val="normaltextrun"/>
          <w:rFonts w:eastAsiaTheme="majorEastAsia"/>
        </w:rPr>
        <w:t>Financial status and issues.</w:t>
      </w:r>
      <w:r>
        <w:rPr>
          <w:rStyle w:val="eop"/>
          <w:rFonts w:eastAsiaTheme="majorEastAsia"/>
        </w:rPr>
        <w:t> </w:t>
      </w:r>
    </w:p>
    <w:p w14:paraId="2F0603DB" w14:textId="77777777" w:rsidR="003D0FC7" w:rsidRDefault="003D0FC7" w:rsidP="003D0FC7">
      <w:pPr>
        <w:pStyle w:val="paragraph"/>
        <w:numPr>
          <w:ilvl w:val="0"/>
          <w:numId w:val="59"/>
        </w:numPr>
        <w:spacing w:before="0" w:beforeAutospacing="0" w:after="0" w:afterAutospacing="0"/>
        <w:ind w:left="1080" w:firstLine="0"/>
        <w:textAlignment w:val="baseline"/>
      </w:pPr>
      <w:r>
        <w:rPr>
          <w:rStyle w:val="normaltextrun"/>
          <w:rFonts w:eastAsiaTheme="majorEastAsia"/>
        </w:rPr>
        <w:t>Daily routines, habits and activities.</w:t>
      </w:r>
      <w:r>
        <w:rPr>
          <w:rStyle w:val="eop"/>
          <w:rFonts w:eastAsiaTheme="majorEastAsia"/>
        </w:rPr>
        <w:t> </w:t>
      </w:r>
    </w:p>
    <w:p w14:paraId="14CEC207" w14:textId="77777777" w:rsidR="003D0FC7" w:rsidRDefault="003D0FC7" w:rsidP="003D0FC7">
      <w:pPr>
        <w:pStyle w:val="paragraph"/>
        <w:numPr>
          <w:ilvl w:val="0"/>
          <w:numId w:val="60"/>
        </w:numPr>
        <w:spacing w:before="0" w:beforeAutospacing="0" w:after="0" w:afterAutospacing="0"/>
        <w:ind w:left="1080" w:firstLine="0"/>
        <w:textAlignment w:val="baseline"/>
      </w:pPr>
      <w:r>
        <w:rPr>
          <w:rStyle w:val="normaltextrun"/>
          <w:rFonts w:eastAsiaTheme="majorEastAsia"/>
        </w:rPr>
        <w:t>Relationships, friends and associates.</w:t>
      </w:r>
      <w:r>
        <w:rPr>
          <w:rStyle w:val="eop"/>
          <w:rFonts w:eastAsiaTheme="majorEastAsia"/>
        </w:rPr>
        <w:t> </w:t>
      </w:r>
    </w:p>
    <w:p w14:paraId="5AF6355F" w14:textId="77777777" w:rsidR="003D0FC7" w:rsidRDefault="003D0FC7" w:rsidP="003D0FC7">
      <w:pPr>
        <w:pStyle w:val="paragraph"/>
        <w:numPr>
          <w:ilvl w:val="0"/>
          <w:numId w:val="61"/>
        </w:numPr>
        <w:spacing w:before="0" w:beforeAutospacing="0" w:after="0" w:afterAutospacing="0"/>
        <w:ind w:left="1080" w:firstLine="0"/>
        <w:textAlignment w:val="baseline"/>
      </w:pPr>
      <w:r>
        <w:rPr>
          <w:rStyle w:val="normaltextrun"/>
          <w:rFonts w:eastAsiaTheme="majorEastAsia"/>
        </w:rPr>
        <w:t>Religious background, ethnic background and other pertinent information.</w:t>
      </w:r>
      <w:r>
        <w:rPr>
          <w:rStyle w:val="eop"/>
          <w:rFonts w:eastAsiaTheme="majorEastAsia"/>
        </w:rPr>
        <w:t> </w:t>
      </w:r>
    </w:p>
    <w:p w14:paraId="326A6B82" w14:textId="77777777" w:rsidR="003D0FC7" w:rsidRDefault="003D0FC7" w:rsidP="003D0FC7">
      <w:pPr>
        <w:pStyle w:val="paragraph"/>
        <w:numPr>
          <w:ilvl w:val="0"/>
          <w:numId w:val="62"/>
        </w:numPr>
        <w:spacing w:before="0" w:beforeAutospacing="0" w:after="0" w:afterAutospacing="0"/>
        <w:ind w:left="1080" w:firstLine="0"/>
        <w:textAlignment w:val="baseline"/>
      </w:pPr>
      <w:r>
        <w:rPr>
          <w:rStyle w:val="normaltextrun"/>
          <w:rFonts w:eastAsiaTheme="majorEastAsia"/>
        </w:rPr>
        <w:t>Educational background.</w:t>
      </w:r>
      <w:r>
        <w:rPr>
          <w:rStyle w:val="eop"/>
          <w:rFonts w:eastAsiaTheme="majorEastAsia"/>
        </w:rPr>
        <w:t> </w:t>
      </w:r>
    </w:p>
    <w:p w14:paraId="37AB2694" w14:textId="77777777" w:rsidR="003D0FC7" w:rsidRDefault="003D0FC7" w:rsidP="003D0FC7">
      <w:pPr>
        <w:pStyle w:val="paragraph"/>
        <w:numPr>
          <w:ilvl w:val="0"/>
          <w:numId w:val="63"/>
        </w:numPr>
        <w:spacing w:before="0" w:beforeAutospacing="0" w:after="0" w:afterAutospacing="0"/>
        <w:ind w:left="1080" w:firstLine="0"/>
        <w:textAlignment w:val="baseline"/>
      </w:pPr>
      <w:r>
        <w:rPr>
          <w:rStyle w:val="normaltextrun"/>
          <w:rFonts w:eastAsiaTheme="majorEastAsia"/>
        </w:rPr>
        <w:lastRenderedPageBreak/>
        <w:t>Criminal history, if any.</w:t>
      </w:r>
      <w:r>
        <w:rPr>
          <w:rStyle w:val="eop"/>
          <w:rFonts w:eastAsiaTheme="majorEastAsia"/>
        </w:rPr>
        <w:t> </w:t>
      </w:r>
    </w:p>
    <w:p w14:paraId="3BF3D920"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4DD86E8" w14:textId="77777777" w:rsidR="003D0FC7" w:rsidRDefault="003D0FC7" w:rsidP="003D0FC7">
      <w:pPr>
        <w:pStyle w:val="paragraph"/>
        <w:spacing w:before="0" w:beforeAutospacing="0" w:after="0" w:afterAutospacing="0"/>
        <w:ind w:right="900" w:firstLine="2160"/>
        <w:textAlignment w:val="baseline"/>
        <w:rPr>
          <w:rFonts w:ascii="Segoe UI" w:hAnsi="Segoe UI" w:cs="Segoe UI"/>
          <w:sz w:val="18"/>
          <w:szCs w:val="18"/>
        </w:rPr>
      </w:pPr>
      <w:r>
        <w:rPr>
          <w:rStyle w:val="eop"/>
          <w:rFonts w:eastAsiaTheme="majorEastAsia"/>
        </w:rPr>
        <w:t> </w:t>
      </w:r>
    </w:p>
    <w:p w14:paraId="5496FB35"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6998FA97" w14:textId="77777777" w:rsidR="00E02C82" w:rsidRPr="000F49F0" w:rsidRDefault="00E02C82" w:rsidP="00B51973">
      <w:pPr>
        <w:pStyle w:val="paragraph"/>
        <w:spacing w:before="0" w:beforeAutospacing="0" w:after="0" w:afterAutospacing="0"/>
        <w:ind w:left="1440" w:right="900" w:firstLine="720"/>
        <w:textAlignment w:val="baseline"/>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16833"/>
    <w:multiLevelType w:val="multilevel"/>
    <w:tmpl w:val="8A94C9B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C2641C"/>
    <w:multiLevelType w:val="multilevel"/>
    <w:tmpl w:val="C2A84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A3665D0"/>
    <w:multiLevelType w:val="multilevel"/>
    <w:tmpl w:val="5A223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A510551"/>
    <w:multiLevelType w:val="multilevel"/>
    <w:tmpl w:val="56406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ABE5B9B"/>
    <w:multiLevelType w:val="multilevel"/>
    <w:tmpl w:val="245AE8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AD661A4"/>
    <w:multiLevelType w:val="multilevel"/>
    <w:tmpl w:val="3E4EB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BBC6FEE"/>
    <w:multiLevelType w:val="multilevel"/>
    <w:tmpl w:val="926472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BE15CF4"/>
    <w:multiLevelType w:val="multilevel"/>
    <w:tmpl w:val="801A0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E4E7CA9"/>
    <w:multiLevelType w:val="multilevel"/>
    <w:tmpl w:val="514C3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F0202BE"/>
    <w:multiLevelType w:val="multilevel"/>
    <w:tmpl w:val="A65E01C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F9D36E3"/>
    <w:multiLevelType w:val="multilevel"/>
    <w:tmpl w:val="A2DC4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09855E9"/>
    <w:multiLevelType w:val="multilevel"/>
    <w:tmpl w:val="35F20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1180287"/>
    <w:multiLevelType w:val="multilevel"/>
    <w:tmpl w:val="5ECE59D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1C27E97"/>
    <w:multiLevelType w:val="multilevel"/>
    <w:tmpl w:val="8912F8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5616F12"/>
    <w:multiLevelType w:val="multilevel"/>
    <w:tmpl w:val="ACC0B6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9D948C9"/>
    <w:multiLevelType w:val="multilevel"/>
    <w:tmpl w:val="FD58DF4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9DD5723"/>
    <w:multiLevelType w:val="multilevel"/>
    <w:tmpl w:val="4F76C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BF00351"/>
    <w:multiLevelType w:val="multilevel"/>
    <w:tmpl w:val="BC2C84E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1AF64D9"/>
    <w:multiLevelType w:val="multilevel"/>
    <w:tmpl w:val="2CFC0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1EE614B"/>
    <w:multiLevelType w:val="multilevel"/>
    <w:tmpl w:val="A4641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4200A5C"/>
    <w:multiLevelType w:val="multilevel"/>
    <w:tmpl w:val="2D4E8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4423F4B"/>
    <w:multiLevelType w:val="multilevel"/>
    <w:tmpl w:val="B20AC33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6390B24"/>
    <w:multiLevelType w:val="multilevel"/>
    <w:tmpl w:val="0E227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7B628D0"/>
    <w:multiLevelType w:val="multilevel"/>
    <w:tmpl w:val="C4987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98A5A28"/>
    <w:multiLevelType w:val="multilevel"/>
    <w:tmpl w:val="E9D41AC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B912270"/>
    <w:multiLevelType w:val="multilevel"/>
    <w:tmpl w:val="DAC2D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2C601EFD"/>
    <w:multiLevelType w:val="multilevel"/>
    <w:tmpl w:val="16341F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0B96A0F"/>
    <w:multiLevelType w:val="multilevel"/>
    <w:tmpl w:val="15EC7D0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4851020"/>
    <w:multiLevelType w:val="multilevel"/>
    <w:tmpl w:val="C07E5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35CB60E7"/>
    <w:multiLevelType w:val="multilevel"/>
    <w:tmpl w:val="AD6CB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8874866"/>
    <w:multiLevelType w:val="multilevel"/>
    <w:tmpl w:val="70A87E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A2B477D"/>
    <w:multiLevelType w:val="multilevel"/>
    <w:tmpl w:val="6E18F2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BDC2BE2"/>
    <w:multiLevelType w:val="multilevel"/>
    <w:tmpl w:val="672C800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E394087"/>
    <w:multiLevelType w:val="multilevel"/>
    <w:tmpl w:val="5B0A0CF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3387B90"/>
    <w:multiLevelType w:val="multilevel"/>
    <w:tmpl w:val="2562633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3456A7C"/>
    <w:multiLevelType w:val="multilevel"/>
    <w:tmpl w:val="BF92FEE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7E151B2"/>
    <w:multiLevelType w:val="multilevel"/>
    <w:tmpl w:val="A7C4A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4A5848F9"/>
    <w:multiLevelType w:val="multilevel"/>
    <w:tmpl w:val="70585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4C830674"/>
    <w:multiLevelType w:val="multilevel"/>
    <w:tmpl w:val="6BE24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4DD2422A"/>
    <w:multiLevelType w:val="multilevel"/>
    <w:tmpl w:val="E93E8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4E5307D3"/>
    <w:multiLevelType w:val="multilevel"/>
    <w:tmpl w:val="DA9ADB9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F2E625F"/>
    <w:multiLevelType w:val="multilevel"/>
    <w:tmpl w:val="5C942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50131FC1"/>
    <w:multiLevelType w:val="multilevel"/>
    <w:tmpl w:val="CE869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506444E2"/>
    <w:multiLevelType w:val="multilevel"/>
    <w:tmpl w:val="B84846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54F3475C"/>
    <w:multiLevelType w:val="multilevel"/>
    <w:tmpl w:val="BDA4C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55E80028"/>
    <w:multiLevelType w:val="multilevel"/>
    <w:tmpl w:val="354E6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58E5188E"/>
    <w:multiLevelType w:val="multilevel"/>
    <w:tmpl w:val="76BA2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5A037334"/>
    <w:multiLevelType w:val="multilevel"/>
    <w:tmpl w:val="C7C0C7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0777090"/>
    <w:multiLevelType w:val="multilevel"/>
    <w:tmpl w:val="382E8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63E63871"/>
    <w:multiLevelType w:val="multilevel"/>
    <w:tmpl w:val="3080E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68B70F30"/>
    <w:multiLevelType w:val="multilevel"/>
    <w:tmpl w:val="C63C6A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9C90077"/>
    <w:multiLevelType w:val="multilevel"/>
    <w:tmpl w:val="EEB42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6B306A57"/>
    <w:multiLevelType w:val="multilevel"/>
    <w:tmpl w:val="D8D4E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6BFA1D74"/>
    <w:multiLevelType w:val="multilevel"/>
    <w:tmpl w:val="283E51A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C8458C8"/>
    <w:multiLevelType w:val="multilevel"/>
    <w:tmpl w:val="6D26A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6D8438D0"/>
    <w:multiLevelType w:val="multilevel"/>
    <w:tmpl w:val="6B6A4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6FD04253"/>
    <w:multiLevelType w:val="multilevel"/>
    <w:tmpl w:val="37284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71563121"/>
    <w:multiLevelType w:val="multilevel"/>
    <w:tmpl w:val="DAE4E9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729E7A6E"/>
    <w:multiLevelType w:val="multilevel"/>
    <w:tmpl w:val="3FAE4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75FD3930"/>
    <w:multiLevelType w:val="multilevel"/>
    <w:tmpl w:val="649C0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79382045"/>
    <w:multiLevelType w:val="multilevel"/>
    <w:tmpl w:val="5A00404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7E4F67E2"/>
    <w:multiLevelType w:val="multilevel"/>
    <w:tmpl w:val="183AE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7E5D05E8"/>
    <w:multiLevelType w:val="multilevel"/>
    <w:tmpl w:val="6C30D2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01157195">
    <w:abstractNumId w:val="31"/>
  </w:num>
  <w:num w:numId="2" w16cid:durableId="351348897">
    <w:abstractNumId w:val="62"/>
  </w:num>
  <w:num w:numId="3" w16cid:durableId="1469128517">
    <w:abstractNumId w:val="14"/>
  </w:num>
  <w:num w:numId="4" w16cid:durableId="1605772173">
    <w:abstractNumId w:val="6"/>
  </w:num>
  <w:num w:numId="5" w16cid:durableId="612447379">
    <w:abstractNumId w:val="13"/>
  </w:num>
  <w:num w:numId="6" w16cid:durableId="1732725418">
    <w:abstractNumId w:val="24"/>
  </w:num>
  <w:num w:numId="7" w16cid:durableId="474954526">
    <w:abstractNumId w:val="27"/>
  </w:num>
  <w:num w:numId="8" w16cid:durableId="843865374">
    <w:abstractNumId w:val="35"/>
  </w:num>
  <w:num w:numId="9" w16cid:durableId="1233393802">
    <w:abstractNumId w:val="9"/>
  </w:num>
  <w:num w:numId="10" w16cid:durableId="524827628">
    <w:abstractNumId w:val="29"/>
  </w:num>
  <w:num w:numId="11" w16cid:durableId="244802190">
    <w:abstractNumId w:val="21"/>
  </w:num>
  <w:num w:numId="12" w16cid:durableId="923495995">
    <w:abstractNumId w:val="33"/>
  </w:num>
  <w:num w:numId="13" w16cid:durableId="1946692620">
    <w:abstractNumId w:val="41"/>
  </w:num>
  <w:num w:numId="14" w16cid:durableId="56368965">
    <w:abstractNumId w:val="36"/>
  </w:num>
  <w:num w:numId="15" w16cid:durableId="399133207">
    <w:abstractNumId w:val="39"/>
  </w:num>
  <w:num w:numId="16" w16cid:durableId="359014240">
    <w:abstractNumId w:val="23"/>
  </w:num>
  <w:num w:numId="17" w16cid:durableId="392042819">
    <w:abstractNumId w:val="18"/>
  </w:num>
  <w:num w:numId="18" w16cid:durableId="1031734376">
    <w:abstractNumId w:val="20"/>
  </w:num>
  <w:num w:numId="19" w16cid:durableId="1982616039">
    <w:abstractNumId w:val="2"/>
  </w:num>
  <w:num w:numId="20" w16cid:durableId="598874025">
    <w:abstractNumId w:val="28"/>
  </w:num>
  <w:num w:numId="21" w16cid:durableId="246813885">
    <w:abstractNumId w:val="37"/>
  </w:num>
  <w:num w:numId="22" w16cid:durableId="2061393425">
    <w:abstractNumId w:val="58"/>
  </w:num>
  <w:num w:numId="23" w16cid:durableId="1923365806">
    <w:abstractNumId w:val="54"/>
  </w:num>
  <w:num w:numId="24" w16cid:durableId="140390093">
    <w:abstractNumId w:val="30"/>
  </w:num>
  <w:num w:numId="25" w16cid:durableId="119811417">
    <w:abstractNumId w:val="40"/>
  </w:num>
  <w:num w:numId="26" w16cid:durableId="1689411328">
    <w:abstractNumId w:val="50"/>
  </w:num>
  <w:num w:numId="27" w16cid:durableId="668601687">
    <w:abstractNumId w:val="26"/>
  </w:num>
  <w:num w:numId="28" w16cid:durableId="1632244592">
    <w:abstractNumId w:val="44"/>
  </w:num>
  <w:num w:numId="29" w16cid:durableId="1858763754">
    <w:abstractNumId w:val="38"/>
  </w:num>
  <w:num w:numId="30" w16cid:durableId="1299072022">
    <w:abstractNumId w:val="25"/>
  </w:num>
  <w:num w:numId="31" w16cid:durableId="593779980">
    <w:abstractNumId w:val="55"/>
  </w:num>
  <w:num w:numId="32" w16cid:durableId="173108160">
    <w:abstractNumId w:val="46"/>
  </w:num>
  <w:num w:numId="33" w16cid:durableId="902911462">
    <w:abstractNumId w:val="3"/>
  </w:num>
  <w:num w:numId="34" w16cid:durableId="7299011">
    <w:abstractNumId w:val="1"/>
  </w:num>
  <w:num w:numId="35" w16cid:durableId="1859274001">
    <w:abstractNumId w:val="5"/>
  </w:num>
  <w:num w:numId="36" w16cid:durableId="1358699797">
    <w:abstractNumId w:val="43"/>
  </w:num>
  <w:num w:numId="37" w16cid:durableId="597368351">
    <w:abstractNumId w:val="57"/>
  </w:num>
  <w:num w:numId="38" w16cid:durableId="615597090">
    <w:abstractNumId w:val="42"/>
  </w:num>
  <w:num w:numId="39" w16cid:durableId="1464926541">
    <w:abstractNumId w:val="19"/>
  </w:num>
  <w:num w:numId="40" w16cid:durableId="81875586">
    <w:abstractNumId w:val="11"/>
  </w:num>
  <w:num w:numId="41" w16cid:durableId="1049843772">
    <w:abstractNumId w:val="48"/>
  </w:num>
  <w:num w:numId="42" w16cid:durableId="232393146">
    <w:abstractNumId w:val="61"/>
  </w:num>
  <w:num w:numId="43" w16cid:durableId="1024794078">
    <w:abstractNumId w:val="52"/>
  </w:num>
  <w:num w:numId="44" w16cid:durableId="1376394676">
    <w:abstractNumId w:val="45"/>
  </w:num>
  <w:num w:numId="45" w16cid:durableId="255600251">
    <w:abstractNumId w:val="51"/>
  </w:num>
  <w:num w:numId="46" w16cid:durableId="209726156">
    <w:abstractNumId w:val="8"/>
  </w:num>
  <w:num w:numId="47" w16cid:durableId="199320805">
    <w:abstractNumId w:val="22"/>
  </w:num>
  <w:num w:numId="48" w16cid:durableId="144400568">
    <w:abstractNumId w:val="49"/>
  </w:num>
  <w:num w:numId="49" w16cid:durableId="2039043426">
    <w:abstractNumId w:val="7"/>
  </w:num>
  <w:num w:numId="50" w16cid:durableId="1369796619">
    <w:abstractNumId w:val="16"/>
  </w:num>
  <w:num w:numId="51" w16cid:durableId="799423201">
    <w:abstractNumId w:val="59"/>
  </w:num>
  <w:num w:numId="52" w16cid:durableId="286130553">
    <w:abstractNumId w:val="56"/>
  </w:num>
  <w:num w:numId="53" w16cid:durableId="915897142">
    <w:abstractNumId w:val="10"/>
  </w:num>
  <w:num w:numId="54" w16cid:durableId="936207349">
    <w:abstractNumId w:val="4"/>
  </w:num>
  <w:num w:numId="55" w16cid:durableId="645165659">
    <w:abstractNumId w:val="47"/>
  </w:num>
  <w:num w:numId="56" w16cid:durableId="1395742494">
    <w:abstractNumId w:val="34"/>
  </w:num>
  <w:num w:numId="57" w16cid:durableId="1672221663">
    <w:abstractNumId w:val="17"/>
  </w:num>
  <w:num w:numId="58" w16cid:durableId="513880396">
    <w:abstractNumId w:val="15"/>
  </w:num>
  <w:num w:numId="59" w16cid:durableId="1394507686">
    <w:abstractNumId w:val="60"/>
  </w:num>
  <w:num w:numId="60" w16cid:durableId="274800204">
    <w:abstractNumId w:val="32"/>
  </w:num>
  <w:num w:numId="61" w16cid:durableId="1308780104">
    <w:abstractNumId w:val="53"/>
  </w:num>
  <w:num w:numId="62" w16cid:durableId="2013558308">
    <w:abstractNumId w:val="0"/>
  </w:num>
  <w:num w:numId="63" w16cid:durableId="1277256283">
    <w:abstractNumId w:val="1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296F"/>
    <w:rsid w:val="000F2F69"/>
    <w:rsid w:val="000F49F0"/>
    <w:rsid w:val="000F6AF8"/>
    <w:rsid w:val="001156CD"/>
    <w:rsid w:val="00123CC1"/>
    <w:rsid w:val="001310DD"/>
    <w:rsid w:val="00144579"/>
    <w:rsid w:val="001474BA"/>
    <w:rsid w:val="001A7179"/>
    <w:rsid w:val="001B2414"/>
    <w:rsid w:val="001B24A4"/>
    <w:rsid w:val="00250EAA"/>
    <w:rsid w:val="002620F1"/>
    <w:rsid w:val="0026573F"/>
    <w:rsid w:val="00266066"/>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0FC7"/>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507A0"/>
    <w:rsid w:val="00586368"/>
    <w:rsid w:val="005943AB"/>
    <w:rsid w:val="005A15D8"/>
    <w:rsid w:val="005D5972"/>
    <w:rsid w:val="005D6714"/>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C057F9"/>
    <w:rsid w:val="00C13DAD"/>
    <w:rsid w:val="00C72C0E"/>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4689008-9CCD-4070-8B0F-0F0624C95E30}">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F5D7E7A4-A82F-40F0-A931-1C9EA272D2E6}">
  <ds:schemaRefs>
    <ds:schemaRef ds:uri="http://schemas.microsoft.com/sharepoint/v3/contenttype/forms"/>
  </ds:schemaRefs>
</ds:datastoreItem>
</file>

<file path=customXml/itemProps3.xml><?xml version="1.0" encoding="utf-8"?>
<ds:datastoreItem xmlns:ds="http://schemas.openxmlformats.org/officeDocument/2006/customXml" ds:itemID="{8B3F9A7B-DC06-4C50-BF7B-6B23F3A272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405</Words>
  <Characters>1919</Characters>
  <Application>Microsoft Office Word</Application>
  <DocSecurity>0</DocSecurity>
  <Lines>59</Lines>
  <Paragraphs>24</Paragraphs>
  <ScaleCrop>false</ScaleCrop>
  <Company/>
  <LinksUpToDate>false</LinksUpToDate>
  <CharactersWithSpaces>2300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2026-05-26T03:21:00Z</dcterms:created>
  <dcterms:modified xsi:type="dcterms:W3CDTF">2026-05-26T03:21:00Z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