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2812A1" w14:textId="20F4A3BB" w:rsidR="0038385C" w:rsidRDefault="48A5B309" w:rsidP="48E5C360">
      <w:pPr>
        <w:widowControl w:val="0"/>
        <w:spacing w:before="11" w:after="0" w:line="276" w:lineRule="auto"/>
        <w:jc w:val="center"/>
        <w:rPr>
          <w:rFonts w:ascii="Calibri" w:eastAsia="Calibri" w:hAnsi="Calibri" w:cs="Calibri"/>
          <w:color w:val="000000" w:themeColor="text1"/>
          <w:sz w:val="28"/>
          <w:szCs w:val="28"/>
        </w:rPr>
      </w:pPr>
      <w:r w:rsidRPr="48E5C360">
        <w:rPr>
          <w:rFonts w:ascii="Calibri" w:eastAsia="Calibri" w:hAnsi="Calibri" w:cs="Calibri"/>
          <w:b/>
          <w:bCs/>
          <w:color w:val="000000" w:themeColor="text1"/>
          <w:sz w:val="28"/>
          <w:szCs w:val="28"/>
          <w:u w:val="single"/>
        </w:rPr>
        <w:t>SECTION 16- COURT</w:t>
      </w:r>
    </w:p>
    <w:p w14:paraId="1884F650" w14:textId="735D5F3C" w:rsidR="0038385C" w:rsidRDefault="0038385C" w:rsidP="48E5C360">
      <w:pPr>
        <w:widowControl w:val="0"/>
        <w:spacing w:after="0" w:line="276" w:lineRule="auto"/>
        <w:rPr>
          <w:rFonts w:ascii="Calibri" w:eastAsia="Calibri" w:hAnsi="Calibri" w:cs="Calibri"/>
          <w:color w:val="000000" w:themeColor="text1"/>
          <w:sz w:val="28"/>
          <w:szCs w:val="28"/>
        </w:rPr>
      </w:pPr>
    </w:p>
    <w:p w14:paraId="07A24109" w14:textId="0209B3E4" w:rsidR="0038385C" w:rsidRDefault="48A5B309" w:rsidP="48E5C360">
      <w:pPr>
        <w:widowControl w:val="0"/>
        <w:tabs>
          <w:tab w:val="left" w:pos="460"/>
        </w:tabs>
        <w:spacing w:before="11" w:after="0" w:line="276" w:lineRule="auto"/>
        <w:ind w:left="100" w:right="7272"/>
        <w:jc w:val="both"/>
        <w:rPr>
          <w:rFonts w:ascii="Calibri" w:eastAsia="Calibri" w:hAnsi="Calibri" w:cs="Calibri"/>
          <w:color w:val="000000" w:themeColor="text1"/>
        </w:rPr>
      </w:pPr>
      <w:r w:rsidRPr="48E5C360">
        <w:rPr>
          <w:rFonts w:ascii="Calibri" w:eastAsia="Calibri" w:hAnsi="Calibri" w:cs="Calibri"/>
          <w:b/>
          <w:bCs/>
          <w:color w:val="000000" w:themeColor="text1"/>
        </w:rPr>
        <w:t>GENERAL</w:t>
      </w:r>
    </w:p>
    <w:p w14:paraId="758D80C8" w14:textId="652F89E2" w:rsidR="0038385C" w:rsidRDefault="48A5B309" w:rsidP="48E5C360">
      <w:pPr>
        <w:widowControl w:val="0"/>
        <w:spacing w:after="0" w:line="276" w:lineRule="auto"/>
        <w:ind w:left="100" w:right="85"/>
        <w:jc w:val="both"/>
        <w:rPr>
          <w:rFonts w:ascii="Calibri" w:eastAsia="Calibri" w:hAnsi="Calibri" w:cs="Calibri"/>
          <w:color w:val="000000" w:themeColor="text1"/>
        </w:rPr>
      </w:pPr>
      <w:r w:rsidRPr="48E5C360">
        <w:rPr>
          <w:rFonts w:ascii="Calibri" w:eastAsia="Calibri" w:hAnsi="Calibri" w:cs="Calibri"/>
          <w:color w:val="000000" w:themeColor="text1"/>
        </w:rPr>
        <w:t xml:space="preserve">Any representative of the Union County Coroner’s Office is subject to being summoned to legal proceedings to provide information relevant to the </w:t>
      </w:r>
      <w:proofErr w:type="gramStart"/>
      <w:r w:rsidRPr="48E5C360">
        <w:rPr>
          <w:rFonts w:ascii="Calibri" w:eastAsia="Calibri" w:hAnsi="Calibri" w:cs="Calibri"/>
          <w:color w:val="000000" w:themeColor="text1"/>
        </w:rPr>
        <w:t>proceeding</w:t>
      </w:r>
      <w:proofErr w:type="gramEnd"/>
      <w:r w:rsidRPr="48E5C360">
        <w:rPr>
          <w:rFonts w:ascii="Calibri" w:eastAsia="Calibri" w:hAnsi="Calibri" w:cs="Calibri"/>
          <w:color w:val="000000" w:themeColor="text1"/>
        </w:rPr>
        <w:t xml:space="preserve"> in question. Further, any portion of a Union County Coroner’s Office investigation and any report, record or photograph produced during that investigation is subject to the scrutiny of the examining or questioning body.</w:t>
      </w:r>
    </w:p>
    <w:p w14:paraId="0F7C5F1B" w14:textId="67D9719C" w:rsidR="0038385C" w:rsidRDefault="0038385C" w:rsidP="48E5C360">
      <w:pPr>
        <w:widowControl w:val="0"/>
        <w:spacing w:after="0" w:line="276" w:lineRule="auto"/>
        <w:ind w:left="100" w:right="6223"/>
        <w:jc w:val="both"/>
        <w:rPr>
          <w:rFonts w:ascii="Calibri" w:eastAsia="Calibri" w:hAnsi="Calibri" w:cs="Calibri"/>
          <w:color w:val="000000" w:themeColor="text1"/>
        </w:rPr>
      </w:pPr>
    </w:p>
    <w:p w14:paraId="59BE8D72" w14:textId="51F6C00F" w:rsidR="0038385C" w:rsidRDefault="48A5B309" w:rsidP="48E5C360">
      <w:pPr>
        <w:widowControl w:val="0"/>
        <w:spacing w:after="0" w:line="276" w:lineRule="auto"/>
        <w:ind w:left="100" w:right="4950"/>
        <w:jc w:val="both"/>
        <w:rPr>
          <w:rFonts w:ascii="Calibri" w:eastAsia="Calibri" w:hAnsi="Calibri" w:cs="Calibri"/>
          <w:color w:val="000000" w:themeColor="text1"/>
        </w:rPr>
      </w:pPr>
      <w:r w:rsidRPr="48E5C360">
        <w:rPr>
          <w:rFonts w:ascii="Calibri" w:eastAsia="Calibri" w:hAnsi="Calibri" w:cs="Calibri"/>
          <w:b/>
          <w:bCs/>
          <w:color w:val="000000" w:themeColor="text1"/>
        </w:rPr>
        <w:t>METHODS OF NOTIFICATION</w:t>
      </w:r>
    </w:p>
    <w:p w14:paraId="0FDADC6A" w14:textId="7415CCFE" w:rsidR="0038385C" w:rsidRDefault="48A5B309" w:rsidP="48E5C360">
      <w:pPr>
        <w:widowControl w:val="0"/>
        <w:spacing w:after="0" w:line="276" w:lineRule="auto"/>
        <w:ind w:left="100" w:right="87"/>
        <w:jc w:val="both"/>
        <w:rPr>
          <w:rFonts w:ascii="Calibri" w:eastAsia="Calibri" w:hAnsi="Calibri" w:cs="Calibri"/>
          <w:color w:val="000000" w:themeColor="text1"/>
        </w:rPr>
      </w:pPr>
      <w:r w:rsidRPr="48E5C360">
        <w:rPr>
          <w:rFonts w:ascii="Calibri" w:eastAsia="Calibri" w:hAnsi="Calibri" w:cs="Calibri"/>
          <w:color w:val="000000" w:themeColor="text1"/>
        </w:rPr>
        <w:t>When   summoned   to   give   testimony   or   information   in   any   civil   or   criminal   proceeding, the   Deputy Coroner/Investigator will notify the Union County Coroner to record the date and review the case.</w:t>
      </w:r>
    </w:p>
    <w:p w14:paraId="6410C1AA" w14:textId="3C799F7D" w:rsidR="0038385C" w:rsidRDefault="0038385C" w:rsidP="48E5C360">
      <w:pPr>
        <w:widowControl w:val="0"/>
        <w:spacing w:before="14" w:after="0" w:line="276" w:lineRule="auto"/>
        <w:rPr>
          <w:rFonts w:ascii="Calibri" w:eastAsia="Calibri" w:hAnsi="Calibri" w:cs="Calibri"/>
          <w:color w:val="000000" w:themeColor="text1"/>
        </w:rPr>
      </w:pPr>
    </w:p>
    <w:p w14:paraId="503371C8" w14:textId="489404D2" w:rsidR="0038385C" w:rsidRDefault="48A5B309" w:rsidP="48E5C360">
      <w:pPr>
        <w:widowControl w:val="0"/>
        <w:spacing w:after="0" w:line="276" w:lineRule="auto"/>
        <w:ind w:left="100" w:right="94"/>
        <w:jc w:val="both"/>
        <w:rPr>
          <w:rFonts w:ascii="Calibri" w:eastAsia="Calibri" w:hAnsi="Calibri" w:cs="Calibri"/>
          <w:color w:val="000000" w:themeColor="text1"/>
        </w:rPr>
      </w:pPr>
      <w:r w:rsidRPr="48E5C360">
        <w:rPr>
          <w:rFonts w:ascii="Calibri" w:eastAsia="Calibri" w:hAnsi="Calibri" w:cs="Calibri"/>
          <w:b/>
          <w:bCs/>
          <w:color w:val="000000" w:themeColor="text1"/>
        </w:rPr>
        <w:t>SUBPOENA</w:t>
      </w:r>
      <w:r w:rsidRPr="48E5C360">
        <w:rPr>
          <w:rFonts w:ascii="Calibri" w:eastAsia="Calibri" w:hAnsi="Calibri" w:cs="Calibri"/>
          <w:color w:val="000000" w:themeColor="text1"/>
        </w:rPr>
        <w:t>: A subpoena is an order to appear and provide testimony. A subpoena must be personally served to the individual whose appearance is required unless arrangements have been made to comply without personal service, usually in the form of a signed waiver of service.</w:t>
      </w:r>
    </w:p>
    <w:p w14:paraId="1FF43287" w14:textId="1FCAFAF6" w:rsidR="0038385C" w:rsidRDefault="0038385C" w:rsidP="48E5C360">
      <w:pPr>
        <w:widowControl w:val="0"/>
        <w:spacing w:before="6" w:after="0" w:line="276" w:lineRule="auto"/>
        <w:rPr>
          <w:rFonts w:ascii="Calibri" w:eastAsia="Calibri" w:hAnsi="Calibri" w:cs="Calibri"/>
          <w:color w:val="000000" w:themeColor="text1"/>
        </w:rPr>
      </w:pPr>
    </w:p>
    <w:p w14:paraId="474864EA" w14:textId="7D52E522" w:rsidR="0038385C" w:rsidRDefault="48A5B309" w:rsidP="48E5C360">
      <w:pPr>
        <w:widowControl w:val="0"/>
        <w:spacing w:after="0" w:line="276" w:lineRule="auto"/>
        <w:ind w:left="100" w:right="86"/>
        <w:jc w:val="both"/>
        <w:rPr>
          <w:rFonts w:ascii="Calibri" w:eastAsia="Calibri" w:hAnsi="Calibri" w:cs="Calibri"/>
          <w:color w:val="000000" w:themeColor="text1"/>
        </w:rPr>
      </w:pPr>
      <w:r w:rsidRPr="48E5C360">
        <w:rPr>
          <w:rFonts w:ascii="Calibri" w:eastAsia="Calibri" w:hAnsi="Calibri" w:cs="Calibri"/>
          <w:color w:val="000000" w:themeColor="text1"/>
        </w:rPr>
        <w:t>Prior to a court hearing, a Coroner Investigator may be called upon for an informal interview or a formal deposition where actual testimony is recorded. The Coroner Investigator may use notes made by them for review in court. However, the only documents that can be produced as file reports are those generated and maintained by the Union County Coroner’s Office. No Coroner Investigator should enter a situation to give testimony without having spoken to the summoning party in advance and will meet with the prosecuting attorney.</w:t>
      </w:r>
    </w:p>
    <w:p w14:paraId="66AF4DBD" w14:textId="6080CF97" w:rsidR="0038385C" w:rsidRDefault="0038385C" w:rsidP="48E5C360">
      <w:pPr>
        <w:widowControl w:val="0"/>
        <w:spacing w:before="6" w:after="0" w:line="276" w:lineRule="auto"/>
        <w:rPr>
          <w:rFonts w:ascii="Calibri" w:eastAsia="Calibri" w:hAnsi="Calibri" w:cs="Calibri"/>
          <w:color w:val="000000" w:themeColor="text1"/>
        </w:rPr>
      </w:pPr>
    </w:p>
    <w:p w14:paraId="34EF5313" w14:textId="04CE5704" w:rsidR="0038385C" w:rsidRDefault="48A5B309" w:rsidP="48E5C360">
      <w:pPr>
        <w:widowControl w:val="0"/>
        <w:spacing w:after="0" w:line="276" w:lineRule="auto"/>
        <w:ind w:left="100" w:right="81"/>
        <w:jc w:val="both"/>
        <w:rPr>
          <w:rFonts w:ascii="Calibri" w:eastAsia="Calibri" w:hAnsi="Calibri" w:cs="Calibri"/>
          <w:color w:val="000000" w:themeColor="text1"/>
        </w:rPr>
      </w:pPr>
      <w:r w:rsidRPr="48E5C360">
        <w:rPr>
          <w:rFonts w:ascii="Calibri" w:eastAsia="Calibri" w:hAnsi="Calibri" w:cs="Calibri"/>
          <w:b/>
          <w:bCs/>
          <w:color w:val="000000" w:themeColor="text1"/>
        </w:rPr>
        <w:t>SUBPOENA DUCES TECUM</w:t>
      </w:r>
      <w:r w:rsidRPr="48E5C360">
        <w:rPr>
          <w:rFonts w:ascii="Calibri" w:eastAsia="Calibri" w:hAnsi="Calibri" w:cs="Calibri"/>
          <w:color w:val="000000" w:themeColor="text1"/>
        </w:rPr>
        <w:t>: A subpoena duces tectum is an order that commands an appearance by an individual, with instructions to bring certain records. In most criminal and civil court proceedings, the summoning party will have already obtained copies of the records in the matter. If a member receives a subpoena duces tectum, the records in the case are held by the Union County Coroner’s Office and certified copies will be provided to the member being summoned along with any personal notes kept by the Coroner Investigator. Images pertaining to a case are held within that case and are reproduced when requested by an outside agency or individual.</w:t>
      </w:r>
    </w:p>
    <w:p w14:paraId="6095E949" w14:textId="64BF9CC2" w:rsidR="0038385C" w:rsidRDefault="0038385C" w:rsidP="48E5C360">
      <w:pPr>
        <w:widowControl w:val="0"/>
        <w:spacing w:before="9" w:after="0" w:line="276" w:lineRule="auto"/>
        <w:rPr>
          <w:rFonts w:ascii="Calibri" w:eastAsia="Calibri" w:hAnsi="Calibri" w:cs="Calibri"/>
          <w:color w:val="000000" w:themeColor="text1"/>
        </w:rPr>
      </w:pPr>
    </w:p>
    <w:p w14:paraId="61616E01" w14:textId="2E6F3B6F" w:rsidR="0038385C" w:rsidRDefault="48A5B309" w:rsidP="48E5C360">
      <w:pPr>
        <w:widowControl w:val="0"/>
        <w:spacing w:after="0" w:line="276" w:lineRule="auto"/>
        <w:ind w:left="100" w:right="84"/>
        <w:jc w:val="both"/>
        <w:rPr>
          <w:rFonts w:ascii="Calibri" w:eastAsia="Calibri" w:hAnsi="Calibri" w:cs="Calibri"/>
          <w:color w:val="000000" w:themeColor="text1"/>
        </w:rPr>
      </w:pPr>
      <w:r w:rsidRPr="48E5C360">
        <w:rPr>
          <w:rFonts w:ascii="Calibri" w:eastAsia="Calibri" w:hAnsi="Calibri" w:cs="Calibri"/>
          <w:b/>
          <w:bCs/>
          <w:color w:val="000000" w:themeColor="text1"/>
        </w:rPr>
        <w:t>PRIVILEGED DOCUMENT</w:t>
      </w:r>
      <w:r w:rsidRPr="48E5C360">
        <w:rPr>
          <w:rFonts w:ascii="Calibri" w:eastAsia="Calibri" w:hAnsi="Calibri" w:cs="Calibri"/>
          <w:color w:val="000000" w:themeColor="text1"/>
        </w:rPr>
        <w:t xml:space="preserve">: A privileged record is a record within the Union County Coroner’s Office file generated by an agency other than the Union County Coroner’s Office. These are usually medical records and/or law enforcement reports. These documents are privileged documents, i.e., those that are not part of the public domain and as such, are not released </w:t>
      </w:r>
      <w:r w:rsidRPr="48E5C360">
        <w:rPr>
          <w:rFonts w:ascii="Calibri" w:eastAsia="Calibri" w:hAnsi="Calibri" w:cs="Calibri"/>
          <w:color w:val="000000" w:themeColor="text1"/>
        </w:rPr>
        <w:lastRenderedPageBreak/>
        <w:t xml:space="preserve">except by subpoena or court order made to the creating agency. In any case where such documents exist within a subpoenaed Union County Coroner’s Office file, they are not to be produced along with Union County Coroner’s Office documents. Instead, the subpoenaing agency is to be </w:t>
      </w:r>
      <w:proofErr w:type="gramStart"/>
      <w:r w:rsidRPr="48E5C360">
        <w:rPr>
          <w:rFonts w:ascii="Calibri" w:eastAsia="Calibri" w:hAnsi="Calibri" w:cs="Calibri"/>
          <w:color w:val="000000" w:themeColor="text1"/>
        </w:rPr>
        <w:t>apprised</w:t>
      </w:r>
      <w:proofErr w:type="gramEnd"/>
      <w:r w:rsidRPr="48E5C360">
        <w:rPr>
          <w:rFonts w:ascii="Calibri" w:eastAsia="Calibri" w:hAnsi="Calibri" w:cs="Calibri"/>
          <w:color w:val="000000" w:themeColor="text1"/>
        </w:rPr>
        <w:t xml:space="preserve"> that the records exist, that they are privileged, and that they are the property of the generating agency. By making attorneys in civil and criminal proceedings aware of the existence of the documents, the court can then determine a course of action. If the court proceeds and orders that the privileged documents be produced, the Union County Coroner’s Office has shown good faith in the attempt to protect the records.</w:t>
      </w:r>
    </w:p>
    <w:p w14:paraId="60228261" w14:textId="1FF94D36" w:rsidR="0038385C" w:rsidRDefault="0038385C" w:rsidP="48E5C360">
      <w:pPr>
        <w:widowControl w:val="0"/>
        <w:spacing w:before="6" w:after="0" w:line="276" w:lineRule="auto"/>
        <w:rPr>
          <w:rFonts w:ascii="Calibri" w:eastAsia="Calibri" w:hAnsi="Calibri" w:cs="Calibri"/>
          <w:color w:val="000000" w:themeColor="text1"/>
        </w:rPr>
      </w:pPr>
    </w:p>
    <w:p w14:paraId="6A11159F" w14:textId="60F73316" w:rsidR="0038385C" w:rsidRDefault="48A5B309" w:rsidP="48E5C360">
      <w:pPr>
        <w:widowControl w:val="0"/>
        <w:spacing w:after="0" w:line="276" w:lineRule="auto"/>
        <w:ind w:left="100" w:right="94"/>
        <w:jc w:val="both"/>
        <w:rPr>
          <w:rFonts w:ascii="Calibri" w:eastAsia="Calibri" w:hAnsi="Calibri" w:cs="Calibri"/>
          <w:color w:val="000000" w:themeColor="text1"/>
        </w:rPr>
      </w:pPr>
      <w:r w:rsidRPr="48E5C360">
        <w:rPr>
          <w:rFonts w:ascii="Calibri" w:eastAsia="Calibri" w:hAnsi="Calibri" w:cs="Calibri"/>
          <w:b/>
          <w:bCs/>
          <w:color w:val="000000" w:themeColor="text1"/>
        </w:rPr>
        <w:t>INFORMED NOTIFICATION:</w:t>
      </w:r>
      <w:r w:rsidRPr="48E5C360">
        <w:rPr>
          <w:rFonts w:ascii="Calibri" w:eastAsia="Calibri" w:hAnsi="Calibri" w:cs="Calibri"/>
          <w:color w:val="000000" w:themeColor="text1"/>
        </w:rPr>
        <w:t xml:space="preserve"> A request for testimony or information preliminary to a formal hearing may be requested on the telephone. Any such request can be made through the service of a subpoena. Representatives of the Union County Coroner’s Office may respond with or without a subpoena depending on the circumstances, time element and other factors.</w:t>
      </w:r>
    </w:p>
    <w:p w14:paraId="11B28D76" w14:textId="3339B4AE" w:rsidR="0038385C" w:rsidRDefault="0038385C" w:rsidP="48E5C360">
      <w:pPr>
        <w:widowControl w:val="0"/>
        <w:spacing w:after="0" w:line="276" w:lineRule="auto"/>
        <w:rPr>
          <w:rFonts w:ascii="Calibri" w:eastAsia="Calibri" w:hAnsi="Calibri" w:cs="Calibri"/>
          <w:color w:val="000000" w:themeColor="text1"/>
        </w:rPr>
      </w:pPr>
    </w:p>
    <w:p w14:paraId="19E47B9B" w14:textId="3B24E5FC" w:rsidR="0038385C" w:rsidRDefault="48A5B309" w:rsidP="48E5C360">
      <w:pPr>
        <w:widowControl w:val="0"/>
        <w:spacing w:before="11" w:after="0" w:line="276" w:lineRule="auto"/>
        <w:ind w:left="100" w:right="3240"/>
        <w:jc w:val="both"/>
        <w:rPr>
          <w:rFonts w:ascii="Calibri" w:eastAsia="Calibri" w:hAnsi="Calibri" w:cs="Calibri"/>
          <w:color w:val="000000" w:themeColor="text1"/>
        </w:rPr>
      </w:pPr>
      <w:r w:rsidRPr="48E5C360">
        <w:rPr>
          <w:rFonts w:ascii="Calibri" w:eastAsia="Calibri" w:hAnsi="Calibri" w:cs="Calibri"/>
          <w:b/>
          <w:bCs/>
          <w:color w:val="000000" w:themeColor="text1"/>
        </w:rPr>
        <w:t>RESPONSIBILITY IN CRIMINAL PROCEEDINGS</w:t>
      </w:r>
    </w:p>
    <w:p w14:paraId="0E7E201F" w14:textId="164A959B" w:rsidR="0038385C" w:rsidRDefault="48A5B309" w:rsidP="48E5C360">
      <w:pPr>
        <w:widowControl w:val="0"/>
        <w:spacing w:after="0" w:line="276" w:lineRule="auto"/>
        <w:ind w:left="100" w:right="85"/>
        <w:jc w:val="both"/>
        <w:rPr>
          <w:rFonts w:ascii="Calibri" w:eastAsia="Calibri" w:hAnsi="Calibri" w:cs="Calibri"/>
          <w:color w:val="000000" w:themeColor="text1"/>
        </w:rPr>
      </w:pPr>
      <w:r w:rsidRPr="48E5C360">
        <w:rPr>
          <w:rFonts w:ascii="Calibri" w:eastAsia="Calibri" w:hAnsi="Calibri" w:cs="Calibri"/>
          <w:color w:val="000000" w:themeColor="text1"/>
        </w:rPr>
        <w:t>Representatives of the Union County Coroner’s Office are to be neutral presenters of the facts in any legal proceeding. The Coroner Investigator is primarily used in court hearings to initiate the chain of custody testimony. Another component of testimony may be the description of the scene as the Coroner Investigator saw it and a description of the body as the Coroner Investigator saw it. Finally, any documents generated by the Coroner Investigator, including photographs taken by the Coroner Investigator or in his/her presence can be used. This entire process sets the forthcoming testimony of the pathologist, who must rely on the information supplied by the Coroner Investigator for identification of the body as that of the deceased. In some instances, (usually grand jury) the Coroner Investigator may be asked to read the opinion of the pathologist from the Autopsy Report. When summoned to criminal proceedings, the Coroner Investigator should not hesitate to telephone the attorney in charge to ask what testimony will be required.</w:t>
      </w:r>
    </w:p>
    <w:p w14:paraId="69ADF4AB" w14:textId="250D2136" w:rsidR="0038385C" w:rsidRDefault="0038385C" w:rsidP="48E5C360">
      <w:pPr>
        <w:widowControl w:val="0"/>
        <w:spacing w:before="8" w:after="0" w:line="276" w:lineRule="auto"/>
        <w:rPr>
          <w:rFonts w:ascii="Calibri" w:eastAsia="Calibri" w:hAnsi="Calibri" w:cs="Calibri"/>
          <w:color w:val="000000" w:themeColor="text1"/>
        </w:rPr>
      </w:pPr>
    </w:p>
    <w:p w14:paraId="2100F43C" w14:textId="5A432FCD" w:rsidR="0038385C" w:rsidRDefault="48A5B309" w:rsidP="48E5C360">
      <w:pPr>
        <w:widowControl w:val="0"/>
        <w:spacing w:after="0" w:line="276" w:lineRule="auto"/>
        <w:ind w:left="100" w:right="3600"/>
        <w:jc w:val="both"/>
        <w:rPr>
          <w:rFonts w:ascii="Calibri" w:eastAsia="Calibri" w:hAnsi="Calibri" w:cs="Calibri"/>
          <w:color w:val="000000" w:themeColor="text1"/>
        </w:rPr>
      </w:pPr>
      <w:r w:rsidRPr="48E5C360">
        <w:rPr>
          <w:rFonts w:ascii="Calibri" w:eastAsia="Calibri" w:hAnsi="Calibri" w:cs="Calibri"/>
          <w:b/>
          <w:bCs/>
          <w:color w:val="000000" w:themeColor="text1"/>
        </w:rPr>
        <w:t>RESPONSIBILITY IN CIVIL PROCEEDINGS</w:t>
      </w:r>
    </w:p>
    <w:p w14:paraId="371EECC4" w14:textId="09FAD396" w:rsidR="0038385C" w:rsidRDefault="48A5B309" w:rsidP="48E5C360">
      <w:pPr>
        <w:widowControl w:val="0"/>
        <w:spacing w:after="0" w:line="276" w:lineRule="auto"/>
        <w:ind w:left="100" w:right="82"/>
        <w:jc w:val="both"/>
        <w:rPr>
          <w:rFonts w:ascii="Calibri" w:eastAsia="Calibri" w:hAnsi="Calibri" w:cs="Calibri"/>
          <w:color w:val="000000" w:themeColor="text1"/>
        </w:rPr>
      </w:pPr>
      <w:r w:rsidRPr="48E5C360">
        <w:rPr>
          <w:rFonts w:ascii="Calibri" w:eastAsia="Calibri" w:hAnsi="Calibri" w:cs="Calibri"/>
          <w:color w:val="000000" w:themeColor="text1"/>
        </w:rPr>
        <w:t>Although the same type of information is required in civil matters, the rules of evidence differ from criminal and other hearings. The proceedings are less formal and structured than in criminal proceedings. Attorneys for both plaintiff and defendant may subpoena the Coroner Investigator/Coroner, and the information provided should be the same. As in criminal proceedings, the Coroner Investigator/Coroner should not hesitate to call the attorney in charge to ask what testimony will be required.</w:t>
      </w:r>
    </w:p>
    <w:p w14:paraId="776701A0" w14:textId="3DD1B70D" w:rsidR="0038385C" w:rsidRDefault="0038385C" w:rsidP="48E5C360">
      <w:pPr>
        <w:widowControl w:val="0"/>
        <w:spacing w:before="6" w:after="0" w:line="276" w:lineRule="auto"/>
        <w:rPr>
          <w:rFonts w:ascii="Calibri" w:eastAsia="Calibri" w:hAnsi="Calibri" w:cs="Calibri"/>
          <w:color w:val="000000" w:themeColor="text1"/>
        </w:rPr>
      </w:pPr>
    </w:p>
    <w:p w14:paraId="5BCEE05B" w14:textId="2157BE98" w:rsidR="0038385C" w:rsidRDefault="48A5B309" w:rsidP="48E5C360">
      <w:pPr>
        <w:widowControl w:val="0"/>
        <w:spacing w:after="0" w:line="276" w:lineRule="auto"/>
        <w:ind w:left="100" w:right="82"/>
        <w:jc w:val="both"/>
        <w:rPr>
          <w:rFonts w:ascii="Calibri" w:eastAsia="Calibri" w:hAnsi="Calibri" w:cs="Calibri"/>
          <w:color w:val="000000" w:themeColor="text1"/>
        </w:rPr>
      </w:pPr>
      <w:r w:rsidRPr="48E5C360">
        <w:rPr>
          <w:rFonts w:ascii="Calibri" w:eastAsia="Calibri" w:hAnsi="Calibri" w:cs="Calibri"/>
          <w:color w:val="000000" w:themeColor="text1"/>
        </w:rPr>
        <w:t xml:space="preserve">Interview: A request for information either in person, on the telephone or with a letter can constitute an interview. Coroner Investigator's should not hesitate to </w:t>
      </w:r>
      <w:proofErr w:type="gramStart"/>
      <w:r w:rsidRPr="48E5C360">
        <w:rPr>
          <w:rFonts w:ascii="Calibri" w:eastAsia="Calibri" w:hAnsi="Calibri" w:cs="Calibri"/>
          <w:color w:val="000000" w:themeColor="text1"/>
        </w:rPr>
        <w:t>ask</w:t>
      </w:r>
      <w:proofErr w:type="gramEnd"/>
      <w:r w:rsidRPr="48E5C360">
        <w:rPr>
          <w:rFonts w:ascii="Calibri" w:eastAsia="Calibri" w:hAnsi="Calibri" w:cs="Calibri"/>
          <w:color w:val="000000" w:themeColor="text1"/>
        </w:rPr>
        <w:t xml:space="preserve"> the purpose of such </w:t>
      </w:r>
      <w:r w:rsidRPr="48E5C360">
        <w:rPr>
          <w:rFonts w:ascii="Calibri" w:eastAsia="Calibri" w:hAnsi="Calibri" w:cs="Calibri"/>
          <w:color w:val="000000" w:themeColor="text1"/>
        </w:rPr>
        <w:lastRenderedPageBreak/>
        <w:t>a query and can take steps in assuring one knows the identity of the person asking for information. Interviews or information gathering sessions are to be considered part of the legal process as far as information content.</w:t>
      </w:r>
    </w:p>
    <w:p w14:paraId="2E19D942" w14:textId="45F2EC46" w:rsidR="0038385C" w:rsidRDefault="0038385C" w:rsidP="48E5C360">
      <w:pPr>
        <w:widowControl w:val="0"/>
        <w:spacing w:before="7" w:after="0" w:line="276" w:lineRule="auto"/>
        <w:rPr>
          <w:rFonts w:ascii="Calibri" w:eastAsia="Calibri" w:hAnsi="Calibri" w:cs="Calibri"/>
          <w:color w:val="000000" w:themeColor="text1"/>
        </w:rPr>
      </w:pPr>
    </w:p>
    <w:p w14:paraId="43D20DE7" w14:textId="089C000D" w:rsidR="0038385C" w:rsidRDefault="48A5B309" w:rsidP="48E5C360">
      <w:pPr>
        <w:widowControl w:val="0"/>
        <w:spacing w:after="0" w:line="276" w:lineRule="auto"/>
        <w:ind w:left="100" w:right="88"/>
        <w:jc w:val="both"/>
        <w:rPr>
          <w:rFonts w:ascii="Calibri" w:eastAsia="Calibri" w:hAnsi="Calibri" w:cs="Calibri"/>
          <w:color w:val="000000" w:themeColor="text1"/>
        </w:rPr>
      </w:pPr>
      <w:r w:rsidRPr="48E5C360">
        <w:rPr>
          <w:rFonts w:ascii="Calibri" w:eastAsia="Calibri" w:hAnsi="Calibri" w:cs="Calibri"/>
          <w:color w:val="000000" w:themeColor="text1"/>
        </w:rPr>
        <w:t>Deposition: A deposition is a formal statement made through a prescribed set of questions outside of a courtroom setting. Only the summoning attorney and court reporter are present. Such a deposition can take place in a location other than where the fatal episode occurred. When travel and lodging are required, all details for reimbursement should be made prior to the deposition.</w:t>
      </w:r>
    </w:p>
    <w:p w14:paraId="659D52BB" w14:textId="114C7AE8" w:rsidR="0038385C" w:rsidRDefault="0038385C" w:rsidP="48E5C360">
      <w:pPr>
        <w:widowControl w:val="0"/>
        <w:spacing w:before="9" w:after="0" w:line="276" w:lineRule="auto"/>
        <w:rPr>
          <w:rFonts w:ascii="Calibri" w:eastAsia="Calibri" w:hAnsi="Calibri" w:cs="Calibri"/>
          <w:color w:val="000000" w:themeColor="text1"/>
        </w:rPr>
      </w:pPr>
    </w:p>
    <w:p w14:paraId="3595934D" w14:textId="6CC322E5" w:rsidR="0038385C" w:rsidRDefault="48A5B309" w:rsidP="48E5C360">
      <w:pPr>
        <w:widowControl w:val="0"/>
        <w:spacing w:after="0" w:line="276" w:lineRule="auto"/>
        <w:ind w:left="100" w:right="5220"/>
        <w:jc w:val="both"/>
        <w:rPr>
          <w:rFonts w:ascii="Calibri" w:eastAsia="Calibri" w:hAnsi="Calibri" w:cs="Calibri"/>
          <w:color w:val="000000" w:themeColor="text1"/>
        </w:rPr>
      </w:pPr>
      <w:r w:rsidRPr="48E5C360">
        <w:rPr>
          <w:rFonts w:ascii="Calibri" w:eastAsia="Calibri" w:hAnsi="Calibri" w:cs="Calibri"/>
          <w:b/>
          <w:bCs/>
          <w:color w:val="000000" w:themeColor="text1"/>
        </w:rPr>
        <w:t>EXPERT WITNESS</w:t>
      </w:r>
    </w:p>
    <w:p w14:paraId="27FA9AA0" w14:textId="1E0150A8" w:rsidR="0038385C" w:rsidRDefault="48A5B309" w:rsidP="48E5C360">
      <w:pPr>
        <w:widowControl w:val="0"/>
        <w:spacing w:after="0" w:line="276" w:lineRule="auto"/>
        <w:ind w:left="100" w:right="87"/>
        <w:jc w:val="both"/>
        <w:rPr>
          <w:rFonts w:ascii="Calibri" w:eastAsia="Calibri" w:hAnsi="Calibri" w:cs="Calibri"/>
          <w:color w:val="000000" w:themeColor="text1"/>
        </w:rPr>
      </w:pPr>
      <w:r w:rsidRPr="48E5C360">
        <w:rPr>
          <w:rFonts w:ascii="Calibri" w:eastAsia="Calibri" w:hAnsi="Calibri" w:cs="Calibri"/>
          <w:color w:val="000000" w:themeColor="text1"/>
        </w:rPr>
        <w:t xml:space="preserve">A witness becomes an expert witness when the </w:t>
      </w:r>
      <w:proofErr w:type="gramStart"/>
      <w:r w:rsidRPr="48E5C360">
        <w:rPr>
          <w:rFonts w:ascii="Calibri" w:eastAsia="Calibri" w:hAnsi="Calibri" w:cs="Calibri"/>
          <w:color w:val="000000" w:themeColor="text1"/>
        </w:rPr>
        <w:t>court so</w:t>
      </w:r>
      <w:proofErr w:type="gramEnd"/>
      <w:r w:rsidRPr="48E5C360">
        <w:rPr>
          <w:rFonts w:ascii="Calibri" w:eastAsia="Calibri" w:hAnsi="Calibri" w:cs="Calibri"/>
          <w:color w:val="000000" w:themeColor="text1"/>
        </w:rPr>
        <w:t xml:space="preserve"> rules. Pathologists are routinely "qualified" as experts, usually after a prescribed line of questioning as to their training and experience has been conducted. A Coroner Investigator or any other member of the Union County Coroner’s Office performing in a technical manner can be, at the discretion of the court, qualified in the same manner. When so qualified, opinions based on that experience can be given on the case in session. The coroner is a professional with specialized training, if the court allows the coroner </w:t>
      </w:r>
      <w:proofErr w:type="gramStart"/>
      <w:r w:rsidRPr="48E5C360">
        <w:rPr>
          <w:rFonts w:ascii="Calibri" w:eastAsia="Calibri" w:hAnsi="Calibri" w:cs="Calibri"/>
          <w:color w:val="000000" w:themeColor="text1"/>
        </w:rPr>
        <w:t>may qualify</w:t>
      </w:r>
      <w:proofErr w:type="gramEnd"/>
      <w:r w:rsidRPr="48E5C360">
        <w:rPr>
          <w:rFonts w:ascii="Calibri" w:eastAsia="Calibri" w:hAnsi="Calibri" w:cs="Calibri"/>
          <w:color w:val="000000" w:themeColor="text1"/>
        </w:rPr>
        <w:t xml:space="preserve"> as an expert witness and provide factual and expert testimony. </w:t>
      </w:r>
    </w:p>
    <w:p w14:paraId="2FC09891" w14:textId="6840567A" w:rsidR="0038385C" w:rsidRDefault="0038385C" w:rsidP="48E5C360">
      <w:pPr>
        <w:widowControl w:val="0"/>
        <w:spacing w:before="9" w:after="0" w:line="276" w:lineRule="auto"/>
        <w:rPr>
          <w:rFonts w:ascii="Calibri" w:eastAsia="Calibri" w:hAnsi="Calibri" w:cs="Calibri"/>
          <w:color w:val="000000" w:themeColor="text1"/>
        </w:rPr>
      </w:pPr>
    </w:p>
    <w:p w14:paraId="1104F43B" w14:textId="23DB87F2" w:rsidR="0038385C" w:rsidRDefault="48A5B309" w:rsidP="48E5C360">
      <w:pPr>
        <w:widowControl w:val="0"/>
        <w:spacing w:after="0" w:line="276" w:lineRule="auto"/>
        <w:ind w:left="100" w:right="6030"/>
        <w:jc w:val="both"/>
        <w:rPr>
          <w:rFonts w:ascii="Calibri" w:eastAsia="Calibri" w:hAnsi="Calibri" w:cs="Calibri"/>
          <w:color w:val="000000" w:themeColor="text1"/>
        </w:rPr>
      </w:pPr>
      <w:r w:rsidRPr="48E5C360">
        <w:rPr>
          <w:rFonts w:ascii="Calibri" w:eastAsia="Calibri" w:hAnsi="Calibri" w:cs="Calibri"/>
          <w:b/>
          <w:bCs/>
          <w:color w:val="000000" w:themeColor="text1"/>
        </w:rPr>
        <w:t>TESTIMONY</w:t>
      </w:r>
    </w:p>
    <w:p w14:paraId="1899E72C" w14:textId="3C8C03C4" w:rsidR="0038385C" w:rsidRDefault="48A5B309" w:rsidP="48E5C360">
      <w:pPr>
        <w:widowControl w:val="0"/>
        <w:spacing w:after="0" w:line="276" w:lineRule="auto"/>
        <w:ind w:left="100" w:right="93"/>
        <w:jc w:val="both"/>
        <w:rPr>
          <w:rFonts w:ascii="Calibri" w:eastAsia="Calibri" w:hAnsi="Calibri" w:cs="Calibri"/>
          <w:color w:val="000000" w:themeColor="text1"/>
        </w:rPr>
      </w:pPr>
      <w:r w:rsidRPr="48E5C360">
        <w:rPr>
          <w:rFonts w:ascii="Calibri" w:eastAsia="Calibri" w:hAnsi="Calibri" w:cs="Calibri"/>
          <w:color w:val="000000" w:themeColor="text1"/>
        </w:rPr>
        <w:t>Testimony is direct information or evidence since the Coroner Investigator/Coroner has firsthand knowledge of the situation and can offer that information when specifically asked for it.</w:t>
      </w:r>
    </w:p>
    <w:p w14:paraId="7F0A9553" w14:textId="266A4DA9" w:rsidR="0038385C" w:rsidRDefault="0038385C" w:rsidP="48E5C360">
      <w:pPr>
        <w:widowControl w:val="0"/>
        <w:spacing w:after="0" w:line="276" w:lineRule="auto"/>
        <w:rPr>
          <w:rFonts w:ascii="Calibri" w:eastAsia="Calibri" w:hAnsi="Calibri" w:cs="Calibri"/>
          <w:color w:val="000000" w:themeColor="text1"/>
        </w:rPr>
      </w:pPr>
    </w:p>
    <w:p w14:paraId="311D7C76" w14:textId="20FFEE49" w:rsidR="0038385C" w:rsidRDefault="48A5B309" w:rsidP="48E5C360">
      <w:pPr>
        <w:widowControl w:val="0"/>
        <w:spacing w:before="19" w:after="0" w:line="276" w:lineRule="auto"/>
        <w:ind w:left="100" w:right="65"/>
        <w:jc w:val="both"/>
        <w:rPr>
          <w:rFonts w:ascii="Calibri" w:eastAsia="Calibri" w:hAnsi="Calibri" w:cs="Calibri"/>
          <w:color w:val="000000" w:themeColor="text1"/>
        </w:rPr>
      </w:pPr>
      <w:r w:rsidRPr="48E5C360">
        <w:rPr>
          <w:rFonts w:ascii="Calibri" w:eastAsia="Calibri" w:hAnsi="Calibri" w:cs="Calibri"/>
          <w:b/>
          <w:bCs/>
          <w:color w:val="000000" w:themeColor="text1"/>
        </w:rPr>
        <w:t>TESTIFYING - POINTS TO CONSIDER</w:t>
      </w:r>
      <w:r w:rsidRPr="48E5C360">
        <w:rPr>
          <w:rFonts w:ascii="Calibri" w:eastAsia="Calibri" w:hAnsi="Calibri" w:cs="Calibri"/>
          <w:color w:val="000000" w:themeColor="text1"/>
        </w:rPr>
        <w:t xml:space="preserve">: Do not read from a report and offer an opinion. A difference exists between reading a report, such as the "Opinion" </w:t>
      </w:r>
      <w:proofErr w:type="gramStart"/>
      <w:r w:rsidRPr="48E5C360">
        <w:rPr>
          <w:rFonts w:ascii="Calibri" w:eastAsia="Calibri" w:hAnsi="Calibri" w:cs="Calibri"/>
          <w:color w:val="000000" w:themeColor="text1"/>
        </w:rPr>
        <w:t>on</w:t>
      </w:r>
      <w:proofErr w:type="gramEnd"/>
      <w:r w:rsidRPr="48E5C360">
        <w:rPr>
          <w:rFonts w:ascii="Calibri" w:eastAsia="Calibri" w:hAnsi="Calibri" w:cs="Calibri"/>
          <w:color w:val="000000" w:themeColor="text1"/>
        </w:rPr>
        <w:t xml:space="preserve"> the Autopsy Report or the blood alcohol level on the toxicology report and offering an explanation as to what that citation means. Although interpretation of the report is the responsibility of the pathologist, there are situations where other staff members can read information from a document into the court record.</w:t>
      </w:r>
    </w:p>
    <w:p w14:paraId="7687EE61" w14:textId="6F430E53" w:rsidR="0038385C" w:rsidRDefault="0038385C" w:rsidP="48E5C360">
      <w:pPr>
        <w:widowControl w:val="0"/>
        <w:spacing w:before="6" w:after="0" w:line="276" w:lineRule="auto"/>
        <w:rPr>
          <w:rFonts w:ascii="Calibri" w:eastAsia="Calibri" w:hAnsi="Calibri" w:cs="Calibri"/>
          <w:color w:val="000000" w:themeColor="text1"/>
        </w:rPr>
      </w:pPr>
    </w:p>
    <w:p w14:paraId="47A180B1" w14:textId="534C04DC" w:rsidR="0038385C" w:rsidRDefault="48A5B309" w:rsidP="48E5C360">
      <w:pPr>
        <w:widowControl w:val="0"/>
        <w:spacing w:after="0" w:line="276" w:lineRule="auto"/>
        <w:ind w:left="100" w:right="71"/>
        <w:jc w:val="both"/>
        <w:rPr>
          <w:rFonts w:ascii="Calibri" w:eastAsia="Calibri" w:hAnsi="Calibri" w:cs="Calibri"/>
          <w:color w:val="000000" w:themeColor="text1"/>
        </w:rPr>
      </w:pPr>
      <w:r w:rsidRPr="48E5C360">
        <w:rPr>
          <w:rFonts w:ascii="Calibri" w:eastAsia="Calibri" w:hAnsi="Calibri" w:cs="Calibri"/>
          <w:color w:val="000000" w:themeColor="text1"/>
        </w:rPr>
        <w:t>Do not be too absolute in your responses. "That is all I can recall having seen" is preferred to "that's all I saw." Recognize the fact that a party to the proceedings may attempt to discredit you. This is usually attempted by confusing the witness, leading them into compromising answers or attacking the qualifications or character of the witness. The only way to avoid looking bad is to remain in control always. Know your facts; know your scene; know what you did (or did not do) and be aware of what your responsibilities are under the law.</w:t>
      </w:r>
    </w:p>
    <w:p w14:paraId="4EDD9682" w14:textId="0B840327" w:rsidR="0038385C" w:rsidRDefault="0038385C" w:rsidP="48E5C360">
      <w:pPr>
        <w:widowControl w:val="0"/>
        <w:spacing w:before="9" w:after="0" w:line="276" w:lineRule="auto"/>
        <w:rPr>
          <w:rFonts w:ascii="Calibri" w:eastAsia="Calibri" w:hAnsi="Calibri" w:cs="Calibri"/>
          <w:color w:val="000000" w:themeColor="text1"/>
        </w:rPr>
      </w:pPr>
    </w:p>
    <w:p w14:paraId="7ADEE4C2" w14:textId="67EF7998" w:rsidR="0038385C" w:rsidRDefault="48A5B309" w:rsidP="48E5C360">
      <w:pPr>
        <w:widowControl w:val="0"/>
        <w:spacing w:after="0" w:line="276" w:lineRule="auto"/>
        <w:ind w:left="100" w:right="64"/>
        <w:jc w:val="both"/>
        <w:rPr>
          <w:rFonts w:ascii="Calibri" w:eastAsia="Calibri" w:hAnsi="Calibri" w:cs="Calibri"/>
          <w:color w:val="000000" w:themeColor="text1"/>
        </w:rPr>
      </w:pPr>
      <w:r w:rsidRPr="48E5C360">
        <w:rPr>
          <w:rFonts w:ascii="Calibri" w:eastAsia="Calibri" w:hAnsi="Calibri" w:cs="Calibri"/>
          <w:color w:val="000000" w:themeColor="text1"/>
        </w:rPr>
        <w:lastRenderedPageBreak/>
        <w:t xml:space="preserve">Do not feel obligated to "explain" an answer. That is the job of the person questioning you. Sometimes questions can be answered with a "yes" or a "no." A </w:t>
      </w:r>
      <w:proofErr w:type="gramStart"/>
      <w:r w:rsidRPr="48E5C360">
        <w:rPr>
          <w:rFonts w:ascii="Calibri" w:eastAsia="Calibri" w:hAnsi="Calibri" w:cs="Calibri"/>
          <w:color w:val="000000" w:themeColor="text1"/>
        </w:rPr>
        <w:t>typically</w:t>
      </w:r>
      <w:proofErr w:type="gramEnd"/>
      <w:r w:rsidRPr="48E5C360">
        <w:rPr>
          <w:rFonts w:ascii="Calibri" w:eastAsia="Calibri" w:hAnsi="Calibri" w:cs="Calibri"/>
          <w:color w:val="000000" w:themeColor="text1"/>
        </w:rPr>
        <w:t xml:space="preserve"> human response is to want to add to that. If more clarification is required, it will be asked of you. Certainly, do not be put in a </w:t>
      </w:r>
      <w:proofErr w:type="gramStart"/>
      <w:r w:rsidRPr="48E5C360">
        <w:rPr>
          <w:rFonts w:ascii="Calibri" w:eastAsia="Calibri" w:hAnsi="Calibri" w:cs="Calibri"/>
          <w:color w:val="000000" w:themeColor="text1"/>
        </w:rPr>
        <w:t>position of having</w:t>
      </w:r>
      <w:proofErr w:type="gramEnd"/>
      <w:r w:rsidRPr="48E5C360">
        <w:rPr>
          <w:rFonts w:ascii="Calibri" w:eastAsia="Calibri" w:hAnsi="Calibri" w:cs="Calibri"/>
          <w:color w:val="000000" w:themeColor="text1"/>
        </w:rPr>
        <w:t xml:space="preserve"> to answer a </w:t>
      </w:r>
      <w:proofErr w:type="gramStart"/>
      <w:r w:rsidRPr="48E5C360">
        <w:rPr>
          <w:rFonts w:ascii="Calibri" w:eastAsia="Calibri" w:hAnsi="Calibri" w:cs="Calibri"/>
          <w:color w:val="000000" w:themeColor="text1"/>
        </w:rPr>
        <w:t>quest ion</w:t>
      </w:r>
      <w:proofErr w:type="gramEnd"/>
      <w:r w:rsidRPr="48E5C360">
        <w:rPr>
          <w:rFonts w:ascii="Calibri" w:eastAsia="Calibri" w:hAnsi="Calibri" w:cs="Calibri"/>
          <w:color w:val="000000" w:themeColor="text1"/>
        </w:rPr>
        <w:t xml:space="preserve"> with only a "yes" or "no" when that answer is clearly not sufficient. Do not hesitate to ask that a question be repeated. Just say simply, "I do not understand the question" or "Could you please repeat the question."</w:t>
      </w:r>
    </w:p>
    <w:p w14:paraId="2B703B28" w14:textId="58DF5598" w:rsidR="0038385C" w:rsidRDefault="0038385C" w:rsidP="48E5C360">
      <w:pPr>
        <w:widowControl w:val="0"/>
        <w:spacing w:before="6" w:after="0" w:line="276" w:lineRule="auto"/>
        <w:rPr>
          <w:rFonts w:ascii="Calibri" w:eastAsia="Calibri" w:hAnsi="Calibri" w:cs="Calibri"/>
          <w:color w:val="000000" w:themeColor="text1"/>
        </w:rPr>
      </w:pPr>
    </w:p>
    <w:p w14:paraId="41271FE3" w14:textId="2F251C4E" w:rsidR="0038385C" w:rsidRDefault="48A5B309" w:rsidP="48E5C360">
      <w:pPr>
        <w:widowControl w:val="0"/>
        <w:spacing w:after="0" w:line="276" w:lineRule="auto"/>
        <w:ind w:left="100" w:right="70"/>
        <w:jc w:val="both"/>
        <w:rPr>
          <w:rFonts w:ascii="Calibri" w:eastAsia="Calibri" w:hAnsi="Calibri" w:cs="Calibri"/>
          <w:color w:val="000000" w:themeColor="text1"/>
        </w:rPr>
      </w:pPr>
      <w:r w:rsidRPr="48E5C360">
        <w:rPr>
          <w:rFonts w:ascii="Calibri" w:eastAsia="Calibri" w:hAnsi="Calibri" w:cs="Calibri"/>
          <w:color w:val="000000" w:themeColor="text1"/>
        </w:rPr>
        <w:t xml:space="preserve">Remain in control. Very rarely will anyone else in the courtroom </w:t>
      </w:r>
      <w:proofErr w:type="gramStart"/>
      <w:r w:rsidRPr="48E5C360">
        <w:rPr>
          <w:rFonts w:ascii="Calibri" w:eastAsia="Calibri" w:hAnsi="Calibri" w:cs="Calibri"/>
          <w:color w:val="000000" w:themeColor="text1"/>
        </w:rPr>
        <w:t>have been</w:t>
      </w:r>
      <w:proofErr w:type="gramEnd"/>
      <w:r w:rsidRPr="48E5C360">
        <w:rPr>
          <w:rFonts w:ascii="Calibri" w:eastAsia="Calibri" w:hAnsi="Calibri" w:cs="Calibri"/>
          <w:color w:val="000000" w:themeColor="text1"/>
        </w:rPr>
        <w:t xml:space="preserve"> with you </w:t>
      </w:r>
      <w:proofErr w:type="gramStart"/>
      <w:r w:rsidRPr="48E5C360">
        <w:rPr>
          <w:rFonts w:ascii="Calibri" w:eastAsia="Calibri" w:hAnsi="Calibri" w:cs="Calibri"/>
          <w:color w:val="000000" w:themeColor="text1"/>
        </w:rPr>
        <w:t>at</w:t>
      </w:r>
      <w:proofErr w:type="gramEnd"/>
      <w:r w:rsidRPr="48E5C360">
        <w:rPr>
          <w:rFonts w:ascii="Calibri" w:eastAsia="Calibri" w:hAnsi="Calibri" w:cs="Calibri"/>
          <w:color w:val="000000" w:themeColor="text1"/>
        </w:rPr>
        <w:t xml:space="preserve"> the scene. You know what you saw, and it is your job to convey that. If a question is one that you do not know the answer to, say so. If you are asked "Did the fire department </w:t>
      </w:r>
      <w:proofErr w:type="gramStart"/>
      <w:r w:rsidRPr="48E5C360">
        <w:rPr>
          <w:rFonts w:ascii="Calibri" w:eastAsia="Calibri" w:hAnsi="Calibri" w:cs="Calibri"/>
          <w:color w:val="000000" w:themeColor="text1"/>
        </w:rPr>
        <w:t>respond</w:t>
      </w:r>
      <w:proofErr w:type="gramEnd"/>
      <w:r w:rsidRPr="48E5C360">
        <w:rPr>
          <w:rFonts w:ascii="Calibri" w:eastAsia="Calibri" w:hAnsi="Calibri" w:cs="Calibri"/>
          <w:color w:val="000000" w:themeColor="text1"/>
        </w:rPr>
        <w:t>" you can say, "I don't know." However, if you are asked "Was the fire department there when you were" and they were not, your answer is, "No."</w:t>
      </w:r>
    </w:p>
    <w:p w14:paraId="6CD268D0" w14:textId="60D45A11" w:rsidR="0038385C" w:rsidRDefault="0038385C" w:rsidP="48E5C360">
      <w:pPr>
        <w:widowControl w:val="0"/>
        <w:spacing w:before="9" w:after="0" w:line="276" w:lineRule="auto"/>
        <w:rPr>
          <w:rFonts w:ascii="Calibri" w:eastAsia="Calibri" w:hAnsi="Calibri" w:cs="Calibri"/>
          <w:color w:val="000000" w:themeColor="text1"/>
        </w:rPr>
      </w:pPr>
    </w:p>
    <w:p w14:paraId="21AC306A" w14:textId="0ACBB5DA" w:rsidR="0038385C" w:rsidRDefault="48A5B309" w:rsidP="48E5C360">
      <w:pPr>
        <w:widowControl w:val="0"/>
        <w:spacing w:after="0" w:line="276" w:lineRule="auto"/>
        <w:ind w:left="100" w:right="90"/>
        <w:jc w:val="both"/>
        <w:rPr>
          <w:rFonts w:ascii="Calibri" w:eastAsia="Calibri" w:hAnsi="Calibri" w:cs="Calibri"/>
          <w:color w:val="000000" w:themeColor="text1"/>
        </w:rPr>
      </w:pPr>
      <w:r w:rsidRPr="48E5C360">
        <w:rPr>
          <w:rFonts w:ascii="Calibri" w:eastAsia="Calibri" w:hAnsi="Calibri" w:cs="Calibri"/>
          <w:color w:val="000000" w:themeColor="text1"/>
        </w:rPr>
        <w:t>The three big troublemakers for individuals testifying in court are:</w:t>
      </w:r>
    </w:p>
    <w:p w14:paraId="4EB91B1D" w14:textId="318265E3" w:rsidR="0038385C" w:rsidRDefault="0038385C" w:rsidP="48E5C360">
      <w:pPr>
        <w:widowControl w:val="0"/>
        <w:spacing w:before="18" w:after="0" w:line="276" w:lineRule="auto"/>
        <w:rPr>
          <w:rFonts w:ascii="Calibri" w:eastAsia="Calibri" w:hAnsi="Calibri" w:cs="Calibri"/>
          <w:color w:val="000000" w:themeColor="text1"/>
        </w:rPr>
      </w:pPr>
    </w:p>
    <w:p w14:paraId="15A4B448" w14:textId="0ACA6514" w:rsidR="0038385C" w:rsidRDefault="48A5B309" w:rsidP="48E5C360">
      <w:pPr>
        <w:pStyle w:val="ListParagraph"/>
        <w:widowControl w:val="0"/>
        <w:numPr>
          <w:ilvl w:val="0"/>
          <w:numId w:val="1"/>
        </w:numPr>
        <w:tabs>
          <w:tab w:val="left" w:pos="820"/>
        </w:tabs>
        <w:spacing w:after="0" w:line="276" w:lineRule="auto"/>
        <w:rPr>
          <w:rFonts w:ascii="Calibri" w:eastAsia="Calibri" w:hAnsi="Calibri" w:cs="Calibri"/>
          <w:color w:val="000000" w:themeColor="text1"/>
        </w:rPr>
      </w:pPr>
      <w:r w:rsidRPr="48E5C360">
        <w:rPr>
          <w:rFonts w:ascii="Calibri" w:eastAsia="Calibri" w:hAnsi="Calibri" w:cs="Calibri"/>
          <w:color w:val="000000" w:themeColor="text1"/>
        </w:rPr>
        <w:t>To lose control, argue with the questioner or become sarcastic,</w:t>
      </w:r>
    </w:p>
    <w:p w14:paraId="1BB644F0" w14:textId="419DEDD4" w:rsidR="0038385C" w:rsidRDefault="0038385C" w:rsidP="48E5C360">
      <w:pPr>
        <w:widowControl w:val="0"/>
        <w:spacing w:before="16" w:after="0" w:line="276" w:lineRule="auto"/>
        <w:rPr>
          <w:rFonts w:ascii="Calibri" w:eastAsia="Calibri" w:hAnsi="Calibri" w:cs="Calibri"/>
          <w:color w:val="000000" w:themeColor="text1"/>
        </w:rPr>
      </w:pPr>
    </w:p>
    <w:p w14:paraId="4B3F4AD1" w14:textId="5E5E973A" w:rsidR="0038385C" w:rsidRDefault="48A5B309" w:rsidP="48E5C360">
      <w:pPr>
        <w:pStyle w:val="ListParagraph"/>
        <w:widowControl w:val="0"/>
        <w:numPr>
          <w:ilvl w:val="0"/>
          <w:numId w:val="1"/>
        </w:numPr>
        <w:tabs>
          <w:tab w:val="left" w:pos="820"/>
        </w:tabs>
        <w:spacing w:after="0" w:line="276" w:lineRule="auto"/>
        <w:rPr>
          <w:rFonts w:ascii="Calibri" w:eastAsia="Calibri" w:hAnsi="Calibri" w:cs="Calibri"/>
          <w:color w:val="000000" w:themeColor="text1"/>
        </w:rPr>
      </w:pPr>
      <w:r w:rsidRPr="48E5C360">
        <w:rPr>
          <w:rFonts w:ascii="Calibri" w:eastAsia="Calibri" w:hAnsi="Calibri" w:cs="Calibri"/>
          <w:color w:val="000000" w:themeColor="text1"/>
        </w:rPr>
        <w:t>To feel an obligation to say things that are not asked of you and</w:t>
      </w:r>
    </w:p>
    <w:p w14:paraId="7E2CAD43" w14:textId="6192307D" w:rsidR="0038385C" w:rsidRDefault="0038385C" w:rsidP="48E5C360">
      <w:pPr>
        <w:widowControl w:val="0"/>
        <w:spacing w:before="16" w:after="0" w:line="276" w:lineRule="auto"/>
        <w:rPr>
          <w:rFonts w:ascii="Calibri" w:eastAsia="Calibri" w:hAnsi="Calibri" w:cs="Calibri"/>
          <w:color w:val="000000" w:themeColor="text1"/>
        </w:rPr>
      </w:pPr>
    </w:p>
    <w:p w14:paraId="14DE7D6F" w14:textId="5F87FEB6" w:rsidR="0038385C" w:rsidRDefault="48A5B309" w:rsidP="48E5C360">
      <w:pPr>
        <w:pStyle w:val="ListParagraph"/>
        <w:widowControl w:val="0"/>
        <w:numPr>
          <w:ilvl w:val="0"/>
          <w:numId w:val="1"/>
        </w:numPr>
        <w:tabs>
          <w:tab w:val="left" w:pos="820"/>
        </w:tabs>
        <w:spacing w:after="0" w:line="276" w:lineRule="auto"/>
        <w:rPr>
          <w:rFonts w:ascii="Calibri" w:eastAsia="Calibri" w:hAnsi="Calibri" w:cs="Calibri"/>
          <w:color w:val="000000" w:themeColor="text1"/>
        </w:rPr>
      </w:pPr>
      <w:r w:rsidRPr="48E5C360">
        <w:rPr>
          <w:rFonts w:ascii="Calibri" w:eastAsia="Calibri" w:hAnsi="Calibri" w:cs="Calibri"/>
          <w:color w:val="000000" w:themeColor="text1"/>
        </w:rPr>
        <w:t>To rush to answer, often while the question is still being asked.</w:t>
      </w:r>
    </w:p>
    <w:p w14:paraId="606E5A98" w14:textId="25B54905" w:rsidR="0038385C" w:rsidRDefault="0038385C" w:rsidP="48E5C360">
      <w:pPr>
        <w:widowControl w:val="0"/>
        <w:spacing w:before="16" w:after="0" w:line="276" w:lineRule="auto"/>
        <w:rPr>
          <w:rFonts w:ascii="Calibri" w:eastAsia="Calibri" w:hAnsi="Calibri" w:cs="Calibri"/>
          <w:color w:val="000000" w:themeColor="text1"/>
        </w:rPr>
      </w:pPr>
    </w:p>
    <w:p w14:paraId="493FBF10" w14:textId="4140D7E9" w:rsidR="0038385C" w:rsidRDefault="48A5B309" w:rsidP="48E5C360">
      <w:pPr>
        <w:widowControl w:val="0"/>
        <w:spacing w:after="0" w:line="276" w:lineRule="auto"/>
        <w:ind w:left="100" w:right="71"/>
        <w:jc w:val="both"/>
        <w:rPr>
          <w:rFonts w:ascii="Calibri" w:eastAsia="Calibri" w:hAnsi="Calibri" w:cs="Calibri"/>
          <w:color w:val="000000" w:themeColor="text1"/>
        </w:rPr>
      </w:pPr>
      <w:r w:rsidRPr="48E5C360">
        <w:rPr>
          <w:rFonts w:ascii="Calibri" w:eastAsia="Calibri" w:hAnsi="Calibri" w:cs="Calibri"/>
          <w:color w:val="000000" w:themeColor="text1"/>
        </w:rPr>
        <w:t xml:space="preserve">Regardless of how "clear cut" certain cases may be, you can alienate a judge or jury with these attitudes that can indeed have them give less credence to your testimony. In the </w:t>
      </w:r>
      <w:proofErr w:type="gramStart"/>
      <w:r w:rsidRPr="48E5C360">
        <w:rPr>
          <w:rFonts w:ascii="Calibri" w:eastAsia="Calibri" w:hAnsi="Calibri" w:cs="Calibri"/>
          <w:color w:val="000000" w:themeColor="text1"/>
        </w:rPr>
        <w:t>event,</w:t>
      </w:r>
      <w:proofErr w:type="gramEnd"/>
      <w:r w:rsidRPr="48E5C360">
        <w:rPr>
          <w:rFonts w:ascii="Calibri" w:eastAsia="Calibri" w:hAnsi="Calibri" w:cs="Calibri"/>
          <w:color w:val="000000" w:themeColor="text1"/>
        </w:rPr>
        <w:t xml:space="preserve"> you are being paid for your court appearance, a question may be, "isn't it true they are paying you to testify." The response is that you are being reimbursed for your time in court.</w:t>
      </w:r>
    </w:p>
    <w:p w14:paraId="6A9767C1" w14:textId="105F2DD9" w:rsidR="0038385C" w:rsidRDefault="0038385C" w:rsidP="48E5C360">
      <w:pPr>
        <w:widowControl w:val="0"/>
        <w:spacing w:before="9" w:after="0" w:line="276" w:lineRule="auto"/>
        <w:rPr>
          <w:rFonts w:ascii="Calibri" w:eastAsia="Calibri" w:hAnsi="Calibri" w:cs="Calibri"/>
          <w:color w:val="000000" w:themeColor="text1"/>
        </w:rPr>
      </w:pPr>
    </w:p>
    <w:p w14:paraId="3CF64635" w14:textId="6B3F1D18" w:rsidR="0038385C" w:rsidRDefault="48A5B309" w:rsidP="48E5C360">
      <w:pPr>
        <w:widowControl w:val="0"/>
        <w:spacing w:after="0" w:line="276" w:lineRule="auto"/>
        <w:ind w:left="100" w:right="71"/>
        <w:jc w:val="both"/>
        <w:rPr>
          <w:rFonts w:ascii="Calibri" w:eastAsia="Calibri" w:hAnsi="Calibri" w:cs="Calibri"/>
          <w:color w:val="000000" w:themeColor="text1"/>
        </w:rPr>
      </w:pPr>
      <w:r w:rsidRPr="48E5C360">
        <w:rPr>
          <w:rFonts w:ascii="Calibri" w:eastAsia="Calibri" w:hAnsi="Calibri" w:cs="Calibri"/>
          <w:color w:val="000000" w:themeColor="text1"/>
        </w:rPr>
        <w:t>Do not talk within earshot of jurors or in a public place regarding the proceedings. This can result in a mistrial being declared. Do not discuss the case or proceedings anywhere other than private locations.</w:t>
      </w:r>
    </w:p>
    <w:p w14:paraId="1C1CB4AC" w14:textId="24402640" w:rsidR="0038385C" w:rsidRDefault="0038385C" w:rsidP="48E5C360">
      <w:pPr>
        <w:widowControl w:val="0"/>
        <w:spacing w:before="4" w:after="0" w:line="276" w:lineRule="auto"/>
        <w:rPr>
          <w:rFonts w:ascii="Calibri" w:eastAsia="Calibri" w:hAnsi="Calibri" w:cs="Calibri"/>
          <w:color w:val="000000" w:themeColor="text1"/>
        </w:rPr>
      </w:pPr>
    </w:p>
    <w:p w14:paraId="1A3A2A8E" w14:textId="50CA3767" w:rsidR="0038385C" w:rsidRDefault="48A5B309" w:rsidP="48E5C360">
      <w:pPr>
        <w:widowControl w:val="0"/>
        <w:spacing w:after="0" w:line="276" w:lineRule="auto"/>
        <w:ind w:left="100" w:right="67"/>
        <w:jc w:val="both"/>
        <w:rPr>
          <w:rFonts w:ascii="Calibri" w:eastAsia="Calibri" w:hAnsi="Calibri" w:cs="Calibri"/>
          <w:color w:val="000000" w:themeColor="text1"/>
        </w:rPr>
      </w:pPr>
      <w:r w:rsidRPr="48E5C360">
        <w:rPr>
          <w:rFonts w:ascii="Calibri" w:eastAsia="Calibri" w:hAnsi="Calibri" w:cs="Calibri"/>
          <w:color w:val="000000" w:themeColor="text1"/>
        </w:rPr>
        <w:t xml:space="preserve">Rarely can you say something during a proceeding that jeopardizes the actual proceeding. If this occurs, it is usually because you have offered something you were not </w:t>
      </w:r>
      <w:proofErr w:type="gramStart"/>
      <w:r w:rsidRPr="48E5C360">
        <w:rPr>
          <w:rFonts w:ascii="Calibri" w:eastAsia="Calibri" w:hAnsi="Calibri" w:cs="Calibri"/>
          <w:color w:val="000000" w:themeColor="text1"/>
        </w:rPr>
        <w:t>asked</w:t>
      </w:r>
      <w:proofErr w:type="gramEnd"/>
      <w:r w:rsidRPr="48E5C360">
        <w:rPr>
          <w:rFonts w:ascii="Calibri" w:eastAsia="Calibri" w:hAnsi="Calibri" w:cs="Calibri"/>
          <w:color w:val="000000" w:themeColor="text1"/>
        </w:rPr>
        <w:t xml:space="preserve">. Much of what is presented during a legal proceeding is </w:t>
      </w:r>
      <w:proofErr w:type="gramStart"/>
      <w:r w:rsidRPr="48E5C360">
        <w:rPr>
          <w:rFonts w:ascii="Calibri" w:eastAsia="Calibri" w:hAnsi="Calibri" w:cs="Calibri"/>
          <w:color w:val="000000" w:themeColor="text1"/>
        </w:rPr>
        <w:t>done so</w:t>
      </w:r>
      <w:proofErr w:type="gramEnd"/>
      <w:r w:rsidRPr="48E5C360">
        <w:rPr>
          <w:rFonts w:ascii="Calibri" w:eastAsia="Calibri" w:hAnsi="Calibri" w:cs="Calibri"/>
          <w:color w:val="000000" w:themeColor="text1"/>
        </w:rPr>
        <w:t xml:space="preserve"> after a proper legal foundation has been established for its introduction. Just answer each. Question in a direct and concise manner without embellishment or attempts at explanation.</w:t>
      </w:r>
    </w:p>
    <w:p w14:paraId="1A406FAD" w14:textId="375B316D" w:rsidR="0038385C" w:rsidRDefault="0038385C" w:rsidP="48E5C360">
      <w:pPr>
        <w:spacing w:line="276" w:lineRule="auto"/>
        <w:rPr>
          <w:rFonts w:ascii="Calibri" w:eastAsia="Calibri" w:hAnsi="Calibri" w:cs="Calibri"/>
          <w:color w:val="000000" w:themeColor="text1"/>
        </w:rPr>
      </w:pPr>
    </w:p>
    <w:p w14:paraId="42953608" w14:textId="3AD6FE2F" w:rsidR="0038385C" w:rsidRDefault="0038385C" w:rsidP="48E5C360">
      <w:pPr>
        <w:spacing w:line="276" w:lineRule="auto"/>
        <w:rPr>
          <w:rFonts w:ascii="Calibri" w:eastAsia="Calibri" w:hAnsi="Calibri" w:cs="Calibri"/>
          <w:color w:val="000000" w:themeColor="text1"/>
        </w:rPr>
      </w:pPr>
    </w:p>
    <w:p w14:paraId="5D04814A" w14:textId="7D7E0964" w:rsidR="0038385C" w:rsidRDefault="0038385C" w:rsidP="48E5C360">
      <w:pPr>
        <w:spacing w:line="276" w:lineRule="auto"/>
        <w:rPr>
          <w:rFonts w:ascii="Calibri" w:eastAsia="Calibri" w:hAnsi="Calibri" w:cs="Calibri"/>
          <w:color w:val="000000" w:themeColor="text1"/>
        </w:rPr>
      </w:pPr>
    </w:p>
    <w:p w14:paraId="16EE2528" w14:textId="5C962809" w:rsidR="0038385C" w:rsidRDefault="0038385C" w:rsidP="48E5C360">
      <w:pPr>
        <w:spacing w:line="276" w:lineRule="auto"/>
        <w:rPr>
          <w:rFonts w:ascii="Calibri" w:eastAsia="Calibri" w:hAnsi="Calibri" w:cs="Calibri"/>
          <w:color w:val="000000" w:themeColor="text1"/>
        </w:rPr>
      </w:pPr>
    </w:p>
    <w:p w14:paraId="7DAD2D2D" w14:textId="4D0FCF1F" w:rsidR="0038385C" w:rsidRDefault="0038385C" w:rsidP="48E5C360">
      <w:pPr>
        <w:spacing w:line="276" w:lineRule="auto"/>
        <w:rPr>
          <w:rFonts w:ascii="Calibri" w:eastAsia="Calibri" w:hAnsi="Calibri" w:cs="Calibri"/>
          <w:color w:val="000000" w:themeColor="text1"/>
        </w:rPr>
      </w:pPr>
    </w:p>
    <w:p w14:paraId="154D089A" w14:textId="0C754F8D" w:rsidR="0038385C" w:rsidRDefault="0038385C" w:rsidP="48E5C360">
      <w:pPr>
        <w:spacing w:line="276" w:lineRule="auto"/>
        <w:rPr>
          <w:rFonts w:ascii="Calibri" w:eastAsia="Calibri" w:hAnsi="Calibri" w:cs="Calibri"/>
          <w:color w:val="000000" w:themeColor="text1"/>
        </w:rPr>
      </w:pPr>
    </w:p>
    <w:p w14:paraId="48571ED5" w14:textId="0E9E5FA8" w:rsidR="0038385C" w:rsidRDefault="0038385C" w:rsidP="48E5C360">
      <w:pPr>
        <w:spacing w:line="276" w:lineRule="auto"/>
        <w:rPr>
          <w:rFonts w:ascii="Calibri" w:eastAsia="Calibri" w:hAnsi="Calibri" w:cs="Calibri"/>
          <w:color w:val="000000" w:themeColor="text1"/>
        </w:rPr>
      </w:pPr>
    </w:p>
    <w:p w14:paraId="77DFD43F" w14:textId="5FAB5F59" w:rsidR="0038385C" w:rsidRDefault="0038385C" w:rsidP="48E5C360">
      <w:pPr>
        <w:spacing w:line="276" w:lineRule="auto"/>
        <w:rPr>
          <w:rFonts w:ascii="Calibri" w:eastAsia="Calibri" w:hAnsi="Calibri" w:cs="Calibri"/>
          <w:color w:val="000000" w:themeColor="text1"/>
        </w:rPr>
      </w:pPr>
    </w:p>
    <w:p w14:paraId="52A6409D" w14:textId="4EE8FA14" w:rsidR="0038385C" w:rsidRDefault="0038385C" w:rsidP="48E5C360">
      <w:pPr>
        <w:spacing w:line="276" w:lineRule="auto"/>
        <w:rPr>
          <w:rFonts w:ascii="Calibri" w:eastAsia="Calibri" w:hAnsi="Calibri" w:cs="Calibri"/>
          <w:color w:val="000000" w:themeColor="text1"/>
        </w:rPr>
      </w:pPr>
    </w:p>
    <w:p w14:paraId="1F552B73" w14:textId="4410DCBC" w:rsidR="0038385C" w:rsidRDefault="0038385C" w:rsidP="48E5C360">
      <w:pPr>
        <w:spacing w:line="276" w:lineRule="auto"/>
        <w:rPr>
          <w:rFonts w:ascii="Calibri" w:eastAsia="Calibri" w:hAnsi="Calibri" w:cs="Calibri"/>
          <w:color w:val="000000" w:themeColor="text1"/>
        </w:rPr>
      </w:pPr>
    </w:p>
    <w:p w14:paraId="2F67033C" w14:textId="1A064408" w:rsidR="0038385C" w:rsidRDefault="0038385C" w:rsidP="48E5C360">
      <w:pPr>
        <w:spacing w:line="276" w:lineRule="auto"/>
        <w:rPr>
          <w:rFonts w:ascii="Calibri" w:eastAsia="Calibri" w:hAnsi="Calibri" w:cs="Calibri"/>
          <w:color w:val="000000" w:themeColor="text1"/>
        </w:rPr>
      </w:pPr>
    </w:p>
    <w:p w14:paraId="5546CCD9" w14:textId="585677BB" w:rsidR="0038385C" w:rsidRDefault="0038385C" w:rsidP="48E5C360">
      <w:pPr>
        <w:spacing w:line="276" w:lineRule="auto"/>
        <w:rPr>
          <w:rFonts w:ascii="Calibri" w:eastAsia="Calibri" w:hAnsi="Calibri" w:cs="Calibri"/>
          <w:color w:val="000000" w:themeColor="text1"/>
        </w:rPr>
      </w:pPr>
    </w:p>
    <w:p w14:paraId="7CCA7AB8" w14:textId="028AEAF9" w:rsidR="0038385C" w:rsidRDefault="0038385C" w:rsidP="48E5C360">
      <w:pPr>
        <w:spacing w:line="276" w:lineRule="auto"/>
        <w:rPr>
          <w:rFonts w:ascii="Calibri" w:eastAsia="Calibri" w:hAnsi="Calibri" w:cs="Calibri"/>
          <w:color w:val="000000" w:themeColor="text1"/>
        </w:rPr>
      </w:pPr>
    </w:p>
    <w:p w14:paraId="110EDE43" w14:textId="6C1161BB" w:rsidR="0038385C" w:rsidRDefault="0038385C" w:rsidP="48E5C360">
      <w:pPr>
        <w:spacing w:line="276" w:lineRule="auto"/>
        <w:rPr>
          <w:rFonts w:ascii="Calibri" w:eastAsia="Calibri" w:hAnsi="Calibri" w:cs="Calibri"/>
          <w:color w:val="000000" w:themeColor="text1"/>
        </w:rPr>
      </w:pPr>
    </w:p>
    <w:p w14:paraId="7B5E0615" w14:textId="7D2A76E1" w:rsidR="0038385C" w:rsidRDefault="0038385C" w:rsidP="48E5C360">
      <w:pPr>
        <w:spacing w:line="276" w:lineRule="auto"/>
        <w:rPr>
          <w:rFonts w:ascii="Calibri" w:eastAsia="Calibri" w:hAnsi="Calibri" w:cs="Calibri"/>
          <w:color w:val="000000" w:themeColor="text1"/>
        </w:rPr>
      </w:pPr>
    </w:p>
    <w:p w14:paraId="2C078E63" w14:textId="70801822" w:rsidR="0038385C" w:rsidRDefault="0038385C"/>
    <w:sectPr w:rsidR="0038385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4D68F8"/>
    <w:multiLevelType w:val="hybridMultilevel"/>
    <w:tmpl w:val="3D38DE8C"/>
    <w:lvl w:ilvl="0" w:tplc="4704DCDC">
      <w:start w:val="1"/>
      <w:numFmt w:val="decimal"/>
      <w:lvlText w:val="%1."/>
      <w:lvlJc w:val="left"/>
      <w:pPr>
        <w:ind w:left="820" w:hanging="360"/>
      </w:pPr>
      <w:rPr>
        <w:rFonts w:ascii="Calibri" w:hAnsi="Calibri" w:hint="default"/>
      </w:rPr>
    </w:lvl>
    <w:lvl w:ilvl="1" w:tplc="6A387F24">
      <w:start w:val="1"/>
      <w:numFmt w:val="lowerLetter"/>
      <w:lvlText w:val="%2."/>
      <w:lvlJc w:val="left"/>
      <w:pPr>
        <w:ind w:left="1440" w:hanging="360"/>
      </w:pPr>
    </w:lvl>
    <w:lvl w:ilvl="2" w:tplc="F20EA830">
      <w:start w:val="1"/>
      <w:numFmt w:val="lowerRoman"/>
      <w:lvlText w:val="%3."/>
      <w:lvlJc w:val="right"/>
      <w:pPr>
        <w:ind w:left="2160" w:hanging="180"/>
      </w:pPr>
    </w:lvl>
    <w:lvl w:ilvl="3" w:tplc="ECBA267A">
      <w:start w:val="1"/>
      <w:numFmt w:val="decimal"/>
      <w:lvlText w:val="%4."/>
      <w:lvlJc w:val="left"/>
      <w:pPr>
        <w:ind w:left="2880" w:hanging="360"/>
      </w:pPr>
    </w:lvl>
    <w:lvl w:ilvl="4" w:tplc="A1469BEC">
      <w:start w:val="1"/>
      <w:numFmt w:val="lowerLetter"/>
      <w:lvlText w:val="%5."/>
      <w:lvlJc w:val="left"/>
      <w:pPr>
        <w:ind w:left="3600" w:hanging="360"/>
      </w:pPr>
    </w:lvl>
    <w:lvl w:ilvl="5" w:tplc="159C8966">
      <w:start w:val="1"/>
      <w:numFmt w:val="lowerRoman"/>
      <w:lvlText w:val="%6."/>
      <w:lvlJc w:val="right"/>
      <w:pPr>
        <w:ind w:left="4320" w:hanging="180"/>
      </w:pPr>
    </w:lvl>
    <w:lvl w:ilvl="6" w:tplc="803AAF16">
      <w:start w:val="1"/>
      <w:numFmt w:val="decimal"/>
      <w:lvlText w:val="%7."/>
      <w:lvlJc w:val="left"/>
      <w:pPr>
        <w:ind w:left="5040" w:hanging="360"/>
      </w:pPr>
    </w:lvl>
    <w:lvl w:ilvl="7" w:tplc="53C658E2">
      <w:start w:val="1"/>
      <w:numFmt w:val="lowerLetter"/>
      <w:lvlText w:val="%8."/>
      <w:lvlJc w:val="left"/>
      <w:pPr>
        <w:ind w:left="5760" w:hanging="360"/>
      </w:pPr>
    </w:lvl>
    <w:lvl w:ilvl="8" w:tplc="51B637EE">
      <w:start w:val="1"/>
      <w:numFmt w:val="lowerRoman"/>
      <w:lvlText w:val="%9."/>
      <w:lvlJc w:val="right"/>
      <w:pPr>
        <w:ind w:left="6480" w:hanging="180"/>
      </w:pPr>
    </w:lvl>
  </w:abstractNum>
  <w:num w:numId="1" w16cid:durableId="15186207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16C9CB8"/>
    <w:rsid w:val="0038385C"/>
    <w:rsid w:val="007855DD"/>
    <w:rsid w:val="00BE6888"/>
    <w:rsid w:val="416C9CB8"/>
    <w:rsid w:val="48A5B309"/>
    <w:rsid w:val="48E5C3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6C9CB8"/>
  <w15:chartTrackingRefBased/>
  <w15:docId w15:val="{0C6BC278-72B4-4FDA-B790-96BB6CA8D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rsid w:val="48E5C3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002C800-DB7B-47AA-8178-35A9B0AA8B97}">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2A85BAC5-2BAD-4B80-92A1-07AF89A687AA}">
  <ds:schemaRefs>
    <ds:schemaRef ds:uri="http://schemas.microsoft.com/sharepoint/v3/contenttype/forms"/>
  </ds:schemaRefs>
</ds:datastoreItem>
</file>

<file path=customXml/itemProps3.xml><?xml version="1.0" encoding="utf-8"?>
<ds:datastoreItem xmlns:ds="http://schemas.openxmlformats.org/officeDocument/2006/customXml" ds:itemID="{1CCF678F-691F-4C33-AE24-8D35FF74D3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1504</Words>
  <Characters>8573</Characters>
  <Application>Microsoft Office Word</Application>
  <DocSecurity>0</DocSecurity>
  <Lines>71</Lines>
  <Paragraphs>20</Paragraphs>
  <ScaleCrop>false</ScaleCrop>
  <Company/>
  <LinksUpToDate>false</LinksUpToDate>
  <CharactersWithSpaces>10057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2026-05-19T21:57:00Z</dcterms:created>
  <dcterms:modified xsi:type="dcterms:W3CDTF">2026-05-19T21:57:00Z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