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E85B57" w14:textId="0C94D8C6" w:rsidR="6FB45B0A" w:rsidRDefault="6FB45B0A" w:rsidP="60CA92D4">
      <w:pPr>
        <w:widowControl w:val="0"/>
        <w:spacing w:before="11" w:after="0" w:line="276" w:lineRule="auto"/>
        <w:jc w:val="center"/>
        <w:rPr>
          <w:rFonts w:ascii="Calibri" w:eastAsia="Calibri" w:hAnsi="Calibri" w:cs="Calibri"/>
          <w:color w:val="000000" w:themeColor="text1"/>
          <w:sz w:val="28"/>
          <w:szCs w:val="28"/>
        </w:rPr>
      </w:pPr>
      <w:r w:rsidRPr="60CA92D4">
        <w:rPr>
          <w:rFonts w:ascii="Calibri" w:eastAsia="Calibri" w:hAnsi="Calibri" w:cs="Calibri"/>
          <w:b/>
          <w:bCs/>
          <w:color w:val="000000" w:themeColor="text1"/>
          <w:sz w:val="28"/>
          <w:szCs w:val="28"/>
          <w:u w:val="single"/>
        </w:rPr>
        <w:t>SECTION 11: ORGAN AND TISSUE DONATION AND RECOVERY</w:t>
      </w:r>
    </w:p>
    <w:p w14:paraId="35D03AED" w14:textId="4D38860E" w:rsidR="60CA92D4" w:rsidRDefault="60CA92D4" w:rsidP="60CA92D4">
      <w:pPr>
        <w:widowControl w:val="0"/>
        <w:spacing w:before="11" w:after="0" w:line="276" w:lineRule="auto"/>
        <w:ind w:left="100"/>
        <w:jc w:val="center"/>
        <w:rPr>
          <w:rFonts w:ascii="Calibri" w:eastAsia="Calibri" w:hAnsi="Calibri" w:cs="Calibri"/>
          <w:color w:val="000000" w:themeColor="text1"/>
        </w:rPr>
      </w:pPr>
    </w:p>
    <w:p w14:paraId="05394A06" w14:textId="1EC429BF" w:rsidR="6FB45B0A" w:rsidRDefault="6FB45B0A" w:rsidP="60CA92D4">
      <w:pPr>
        <w:widowControl w:val="0"/>
        <w:tabs>
          <w:tab w:val="left" w:pos="460"/>
        </w:tabs>
        <w:spacing w:before="11" w:after="0" w:line="276" w:lineRule="auto"/>
        <w:ind w:left="100" w:right="740"/>
        <w:rPr>
          <w:rFonts w:ascii="Calibri" w:eastAsia="Calibri" w:hAnsi="Calibri" w:cs="Calibri"/>
          <w:color w:val="000000" w:themeColor="text1"/>
        </w:rPr>
      </w:pPr>
      <w:r w:rsidRPr="60CA92D4">
        <w:rPr>
          <w:rFonts w:ascii="Calibri" w:eastAsia="Calibri" w:hAnsi="Calibri" w:cs="Calibri"/>
          <w:b/>
          <w:bCs/>
          <w:color w:val="000000" w:themeColor="text1"/>
        </w:rPr>
        <w:t>GENERAL</w:t>
      </w:r>
    </w:p>
    <w:p w14:paraId="2FB2534F" w14:textId="115D0186" w:rsidR="6FB45B0A" w:rsidRDefault="6FB45B0A" w:rsidP="60CA92D4">
      <w:pPr>
        <w:widowControl w:val="0"/>
        <w:spacing w:after="0" w:line="276" w:lineRule="auto"/>
        <w:ind w:left="100" w:right="66"/>
        <w:rPr>
          <w:rFonts w:ascii="Calibri" w:eastAsia="Calibri" w:hAnsi="Calibri" w:cs="Calibri"/>
          <w:color w:val="000000" w:themeColor="text1"/>
        </w:rPr>
      </w:pPr>
      <w:r w:rsidRPr="60CA92D4">
        <w:rPr>
          <w:rFonts w:ascii="Calibri" w:eastAsia="Calibri" w:hAnsi="Calibri" w:cs="Calibri"/>
          <w:color w:val="000000" w:themeColor="text1"/>
        </w:rPr>
        <w:t xml:space="preserve">The Union County Coroner recognizes the benefit to the citizens of Union County and beyond related to anatomical donations. The Union County Coroner shall make every effort to recognize potential donors, coordinate with families, donor agencies and, when required, the forensic pathologist, to </w:t>
      </w:r>
      <w:proofErr w:type="gramStart"/>
      <w:r w:rsidRPr="60CA92D4">
        <w:rPr>
          <w:rFonts w:ascii="Calibri" w:eastAsia="Calibri" w:hAnsi="Calibri" w:cs="Calibri"/>
          <w:color w:val="000000" w:themeColor="text1"/>
        </w:rPr>
        <w:t>insure</w:t>
      </w:r>
      <w:proofErr w:type="gramEnd"/>
      <w:r w:rsidRPr="60CA92D4">
        <w:rPr>
          <w:rFonts w:ascii="Calibri" w:eastAsia="Calibri" w:hAnsi="Calibri" w:cs="Calibri"/>
          <w:color w:val="000000" w:themeColor="text1"/>
        </w:rPr>
        <w:t xml:space="preserve"> maximum benefit of a potential donor.</w:t>
      </w:r>
    </w:p>
    <w:p w14:paraId="1714033D" w14:textId="3A6A636C" w:rsidR="60CA92D4" w:rsidRDefault="60CA92D4" w:rsidP="60CA92D4">
      <w:pPr>
        <w:widowControl w:val="0"/>
        <w:spacing w:after="0" w:line="276" w:lineRule="auto"/>
        <w:ind w:right="66"/>
        <w:rPr>
          <w:rFonts w:ascii="Calibri" w:eastAsia="Calibri" w:hAnsi="Calibri" w:cs="Calibri"/>
          <w:color w:val="000000" w:themeColor="text1"/>
        </w:rPr>
      </w:pPr>
    </w:p>
    <w:p w14:paraId="4F189EF6" w14:textId="7AB6EEA3" w:rsidR="6FB45B0A" w:rsidRDefault="6FB45B0A" w:rsidP="60CA92D4">
      <w:pPr>
        <w:widowControl w:val="0"/>
        <w:spacing w:after="0" w:line="276" w:lineRule="auto"/>
        <w:ind w:right="66"/>
        <w:rPr>
          <w:rFonts w:ascii="Calibri" w:eastAsia="Calibri" w:hAnsi="Calibri" w:cs="Calibri"/>
          <w:color w:val="000000" w:themeColor="text1"/>
        </w:rPr>
      </w:pPr>
      <w:r w:rsidRPr="60CA92D4">
        <w:rPr>
          <w:rFonts w:ascii="Calibri" w:eastAsia="Calibri" w:hAnsi="Calibri" w:cs="Calibri"/>
          <w:b/>
          <w:bCs/>
          <w:color w:val="000000" w:themeColor="text1"/>
        </w:rPr>
        <w:t>STATUTORY IMPERATIVE</w:t>
      </w:r>
    </w:p>
    <w:p w14:paraId="5269A2C6" w14:textId="55234B2C" w:rsidR="6FB45B0A" w:rsidRDefault="6FB45B0A" w:rsidP="60CA92D4">
      <w:pPr>
        <w:pStyle w:val="Heading1"/>
        <w:shd w:val="clear" w:color="auto" w:fill="FFFFFF" w:themeFill="background1"/>
        <w:spacing w:before="48" w:after="0" w:line="276" w:lineRule="auto"/>
        <w:rPr>
          <w:rFonts w:ascii="Calibri" w:eastAsia="Calibri" w:hAnsi="Calibri" w:cs="Calibri"/>
          <w:b/>
          <w:bCs/>
          <w:color w:val="000000" w:themeColor="text1"/>
          <w:sz w:val="24"/>
          <w:szCs w:val="24"/>
        </w:rPr>
      </w:pPr>
      <w:r w:rsidRPr="60CA92D4">
        <w:rPr>
          <w:rFonts w:ascii="Calibri" w:eastAsia="Calibri" w:hAnsi="Calibri" w:cs="Calibri"/>
          <w:b/>
          <w:bCs/>
          <w:color w:val="000000" w:themeColor="text1"/>
          <w:sz w:val="24"/>
          <w:szCs w:val="24"/>
        </w:rPr>
        <w:t>2108.09 Anatomical gift after donor's death.</w:t>
      </w:r>
    </w:p>
    <w:p w14:paraId="1B310C05" w14:textId="7E8F71A2"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(A) Subject to divisions (B) and (C) of this section, and unless barred by section</w:t>
      </w:r>
      <w:r w:rsidRPr="60CA92D4">
        <w:rPr>
          <w:rStyle w:val="apple-converted-space"/>
          <w:rFonts w:ascii="Calibri" w:eastAsia="Calibri" w:hAnsi="Calibri" w:cs="Calibri"/>
          <w:color w:val="000000" w:themeColor="text1"/>
        </w:rPr>
        <w:t> </w:t>
      </w:r>
      <w:hyperlink r:id="rId7">
        <w:r w:rsidRPr="60CA92D4">
          <w:rPr>
            <w:rStyle w:val="Hyperlink"/>
            <w:rFonts w:ascii="Calibri" w:eastAsia="Calibri" w:hAnsi="Calibri" w:cs="Calibri"/>
          </w:rPr>
          <w:t>2108.07</w:t>
        </w:r>
      </w:hyperlink>
      <w:r w:rsidRPr="60CA92D4">
        <w:rPr>
          <w:rStyle w:val="apple-converted-space"/>
          <w:rFonts w:ascii="Calibri" w:eastAsia="Calibri" w:hAnsi="Calibri" w:cs="Calibri"/>
          <w:color w:val="000000" w:themeColor="text1"/>
        </w:rPr>
        <w:t> </w:t>
      </w:r>
      <w:r w:rsidRPr="60CA92D4">
        <w:rPr>
          <w:rFonts w:ascii="Calibri" w:eastAsia="Calibri" w:hAnsi="Calibri" w:cs="Calibri"/>
          <w:color w:val="000000" w:themeColor="text1"/>
        </w:rPr>
        <w:t>or</w:t>
      </w:r>
      <w:r w:rsidRPr="60CA92D4">
        <w:rPr>
          <w:rStyle w:val="apple-converted-space"/>
          <w:rFonts w:ascii="Calibri" w:eastAsia="Calibri" w:hAnsi="Calibri" w:cs="Calibri"/>
          <w:color w:val="000000" w:themeColor="text1"/>
        </w:rPr>
        <w:t> </w:t>
      </w:r>
      <w:hyperlink r:id="rId8">
        <w:r w:rsidRPr="60CA92D4">
          <w:rPr>
            <w:rStyle w:val="Hyperlink"/>
            <w:rFonts w:ascii="Calibri" w:eastAsia="Calibri" w:hAnsi="Calibri" w:cs="Calibri"/>
          </w:rPr>
          <w:t>2108.08</w:t>
        </w:r>
      </w:hyperlink>
      <w:r w:rsidRPr="60CA92D4">
        <w:rPr>
          <w:rStyle w:val="apple-converted-space"/>
          <w:rFonts w:ascii="Calibri" w:eastAsia="Calibri" w:hAnsi="Calibri" w:cs="Calibri"/>
          <w:color w:val="000000" w:themeColor="text1"/>
        </w:rPr>
        <w:t> </w:t>
      </w:r>
      <w:r w:rsidRPr="60CA92D4">
        <w:rPr>
          <w:rFonts w:ascii="Calibri" w:eastAsia="Calibri" w:hAnsi="Calibri" w:cs="Calibri"/>
          <w:color w:val="000000" w:themeColor="text1"/>
        </w:rPr>
        <w:t>of the Revised Code, an anatomical gift of a decedent’s body or part for purpose of transplantation, therapy, research, or education may be made in the manner provided for under section</w:t>
      </w:r>
      <w:r w:rsidRPr="60CA92D4">
        <w:rPr>
          <w:rStyle w:val="apple-converted-space"/>
          <w:rFonts w:ascii="Calibri" w:eastAsia="Calibri" w:hAnsi="Calibri" w:cs="Calibri"/>
          <w:color w:val="000000" w:themeColor="text1"/>
        </w:rPr>
        <w:t> </w:t>
      </w:r>
      <w:hyperlink r:id="rId9">
        <w:r w:rsidRPr="60CA92D4">
          <w:rPr>
            <w:rStyle w:val="Hyperlink"/>
            <w:rFonts w:ascii="Calibri" w:eastAsia="Calibri" w:hAnsi="Calibri" w:cs="Calibri"/>
          </w:rPr>
          <w:t>2108.10</w:t>
        </w:r>
      </w:hyperlink>
      <w:r w:rsidRPr="60CA92D4">
        <w:rPr>
          <w:rStyle w:val="apple-converted-space"/>
          <w:rFonts w:ascii="Calibri" w:eastAsia="Calibri" w:hAnsi="Calibri" w:cs="Calibri"/>
          <w:color w:val="000000" w:themeColor="text1"/>
        </w:rPr>
        <w:t> </w:t>
      </w:r>
      <w:r w:rsidRPr="60CA92D4">
        <w:rPr>
          <w:rFonts w:ascii="Calibri" w:eastAsia="Calibri" w:hAnsi="Calibri" w:cs="Calibri"/>
          <w:color w:val="000000" w:themeColor="text1"/>
        </w:rPr>
        <w:t>of the Revised Code by any member of the following classes of persons who is reasonably available, in the following order of priority:</w:t>
      </w:r>
    </w:p>
    <w:p w14:paraId="3D20D12B" w14:textId="2D2A740D"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(1) An agent of the decedent at the time of death who could have made an anatomical gift under division (B) of section</w:t>
      </w:r>
      <w:r w:rsidRPr="60CA92D4">
        <w:rPr>
          <w:rStyle w:val="apple-converted-space"/>
          <w:rFonts w:ascii="Calibri" w:eastAsia="Calibri" w:hAnsi="Calibri" w:cs="Calibri"/>
          <w:color w:val="000000" w:themeColor="text1"/>
        </w:rPr>
        <w:t> </w:t>
      </w:r>
      <w:hyperlink r:id="rId10">
        <w:r w:rsidRPr="60CA92D4">
          <w:rPr>
            <w:rStyle w:val="Hyperlink"/>
            <w:rFonts w:ascii="Calibri" w:eastAsia="Calibri" w:hAnsi="Calibri" w:cs="Calibri"/>
          </w:rPr>
          <w:t>2108.04</w:t>
        </w:r>
      </w:hyperlink>
      <w:r w:rsidRPr="60CA92D4">
        <w:rPr>
          <w:rStyle w:val="apple-converted-space"/>
          <w:rFonts w:ascii="Calibri" w:eastAsia="Calibri" w:hAnsi="Calibri" w:cs="Calibri"/>
          <w:color w:val="000000" w:themeColor="text1"/>
        </w:rPr>
        <w:t> </w:t>
      </w:r>
      <w:r w:rsidRPr="60CA92D4">
        <w:rPr>
          <w:rFonts w:ascii="Calibri" w:eastAsia="Calibri" w:hAnsi="Calibri" w:cs="Calibri"/>
          <w:color w:val="000000" w:themeColor="text1"/>
        </w:rPr>
        <w:t>of the Revised Code immediately before the decedent’s death;</w:t>
      </w:r>
    </w:p>
    <w:p w14:paraId="49ADDDE6" w14:textId="28A0C7F6"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(2) The decedent’s surviving spouse.</w:t>
      </w:r>
    </w:p>
    <w:p w14:paraId="00F7C6BE" w14:textId="08E6D41B"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(3) The decedent’s surviving adult children.</w:t>
      </w:r>
    </w:p>
    <w:p w14:paraId="070514DE" w14:textId="6D57449A"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(4) The decedent’s surviving parent or parents.</w:t>
      </w:r>
    </w:p>
    <w:p w14:paraId="2F9222F5" w14:textId="5EC93877"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(5) The decedent’s surviving adult siblings.</w:t>
      </w:r>
    </w:p>
    <w:p w14:paraId="7F07D165" w14:textId="1596324C"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(6) The decedent’s surviving adult grandchildren.</w:t>
      </w:r>
    </w:p>
    <w:p w14:paraId="3ADDC725" w14:textId="030A2091"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(7) The decedent’s surviving grandparent or grandparents.</w:t>
      </w:r>
    </w:p>
    <w:p w14:paraId="14AC68B8" w14:textId="244FE166"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(8) A surviving adult who exhibited special care and concern for the decedent.</w:t>
      </w:r>
    </w:p>
    <w:p w14:paraId="03CA4DD9" w14:textId="3B364E39"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(9) The persons who were acting as the guardians of the person of the decedent at the time of death.</w:t>
      </w:r>
    </w:p>
    <w:p w14:paraId="3E2BFCC6" w14:textId="281D766F"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(10) The persons, other than those in divisions (A)(1) to (9) of this section, to whom the right of disposition for the decedent’s body has been assigned pursuant to section</w:t>
      </w:r>
      <w:r w:rsidRPr="60CA92D4">
        <w:rPr>
          <w:rStyle w:val="apple-converted-space"/>
          <w:rFonts w:ascii="Calibri" w:eastAsia="Calibri" w:hAnsi="Calibri" w:cs="Calibri"/>
          <w:color w:val="000000" w:themeColor="text1"/>
        </w:rPr>
        <w:t> </w:t>
      </w:r>
      <w:hyperlink r:id="rId11">
        <w:r w:rsidRPr="60CA92D4">
          <w:rPr>
            <w:rStyle w:val="Hyperlink"/>
            <w:rFonts w:ascii="Calibri" w:eastAsia="Calibri" w:hAnsi="Calibri" w:cs="Calibri"/>
          </w:rPr>
          <w:t>2108.70</w:t>
        </w:r>
      </w:hyperlink>
      <w:r w:rsidRPr="60CA92D4">
        <w:rPr>
          <w:rStyle w:val="apple-converted-space"/>
          <w:rFonts w:ascii="Calibri" w:eastAsia="Calibri" w:hAnsi="Calibri" w:cs="Calibri"/>
          <w:color w:val="000000" w:themeColor="text1"/>
        </w:rPr>
        <w:t> </w:t>
      </w:r>
      <w:r w:rsidRPr="60CA92D4">
        <w:rPr>
          <w:rFonts w:ascii="Calibri" w:eastAsia="Calibri" w:hAnsi="Calibri" w:cs="Calibri"/>
          <w:color w:val="000000" w:themeColor="text1"/>
        </w:rPr>
        <w:t xml:space="preserve">of the </w:t>
      </w:r>
      <w:r w:rsidRPr="60CA92D4">
        <w:rPr>
          <w:rFonts w:ascii="Calibri" w:eastAsia="Calibri" w:hAnsi="Calibri" w:cs="Calibri"/>
          <w:color w:val="000000" w:themeColor="text1"/>
        </w:rPr>
        <w:lastRenderedPageBreak/>
        <w:t>Revised Code or who have the right of disposition for the decedent’s body as described in section</w:t>
      </w:r>
      <w:r w:rsidRPr="60CA92D4">
        <w:rPr>
          <w:rStyle w:val="apple-converted-space"/>
          <w:rFonts w:ascii="Calibri" w:eastAsia="Calibri" w:hAnsi="Calibri" w:cs="Calibri"/>
          <w:color w:val="000000" w:themeColor="text1"/>
        </w:rPr>
        <w:t> </w:t>
      </w:r>
      <w:hyperlink r:id="rId12">
        <w:r w:rsidRPr="60CA92D4">
          <w:rPr>
            <w:rStyle w:val="Hyperlink"/>
            <w:rFonts w:ascii="Calibri" w:eastAsia="Calibri" w:hAnsi="Calibri" w:cs="Calibri"/>
          </w:rPr>
          <w:t>2108.81</w:t>
        </w:r>
      </w:hyperlink>
      <w:r w:rsidRPr="60CA92D4">
        <w:rPr>
          <w:rStyle w:val="apple-converted-space"/>
          <w:rFonts w:ascii="Calibri" w:eastAsia="Calibri" w:hAnsi="Calibri" w:cs="Calibri"/>
          <w:color w:val="000000" w:themeColor="text1"/>
        </w:rPr>
        <w:t> </w:t>
      </w:r>
      <w:r w:rsidRPr="60CA92D4">
        <w:rPr>
          <w:rFonts w:ascii="Calibri" w:eastAsia="Calibri" w:hAnsi="Calibri" w:cs="Calibri"/>
          <w:color w:val="000000" w:themeColor="text1"/>
        </w:rPr>
        <w:t>of the Revised Code.</w:t>
      </w:r>
    </w:p>
    <w:p w14:paraId="6BC837CF" w14:textId="54F8E78F" w:rsidR="6FB45B0A" w:rsidRDefault="6FB45B0A" w:rsidP="60CA92D4">
      <w:pPr>
        <w:shd w:val="clear" w:color="auto" w:fill="FFFFFF" w:themeFill="background1"/>
        <w:spacing w:beforeAutospacing="1" w:afterAutospacing="1" w:line="276" w:lineRule="auto"/>
        <w:rPr>
          <w:rFonts w:ascii="Calibri" w:eastAsia="Calibri" w:hAnsi="Calibri" w:cs="Calibri"/>
          <w:color w:val="000000" w:themeColor="text1"/>
        </w:rPr>
      </w:pPr>
      <w:r w:rsidRPr="60CA92D4">
        <w:rPr>
          <w:rFonts w:ascii="Calibri" w:eastAsia="Calibri" w:hAnsi="Calibri" w:cs="Calibri"/>
          <w:color w:val="000000" w:themeColor="text1"/>
        </w:rPr>
        <w:t>(B) If there is more than one member of a class listed in division (A)(1), (3), (4), (5), (6), (7), or (9) of this section entitled to make an anatomical gift, an anatomical gift may be made by a single member of the class unless that member or a person to which the gift may pass under section</w:t>
      </w:r>
      <w:r w:rsidRPr="60CA92D4">
        <w:rPr>
          <w:rStyle w:val="apple-converted-space"/>
          <w:rFonts w:ascii="Calibri" w:eastAsia="Calibri" w:hAnsi="Calibri" w:cs="Calibri"/>
          <w:color w:val="000000" w:themeColor="text1"/>
        </w:rPr>
        <w:t> </w:t>
      </w:r>
      <w:hyperlink r:id="rId13">
        <w:r w:rsidRPr="60CA92D4">
          <w:rPr>
            <w:rStyle w:val="Hyperlink"/>
            <w:rFonts w:ascii="Calibri" w:eastAsia="Calibri" w:hAnsi="Calibri" w:cs="Calibri"/>
          </w:rPr>
          <w:t>2108.11</w:t>
        </w:r>
      </w:hyperlink>
      <w:r w:rsidRPr="60CA92D4">
        <w:rPr>
          <w:rStyle w:val="apple-converted-space"/>
          <w:rFonts w:ascii="Calibri" w:eastAsia="Calibri" w:hAnsi="Calibri" w:cs="Calibri"/>
          <w:color w:val="000000" w:themeColor="text1"/>
        </w:rPr>
        <w:t> </w:t>
      </w:r>
      <w:r w:rsidRPr="60CA92D4">
        <w:rPr>
          <w:rFonts w:ascii="Calibri" w:eastAsia="Calibri" w:hAnsi="Calibri" w:cs="Calibri"/>
          <w:color w:val="000000" w:themeColor="text1"/>
        </w:rPr>
        <w:t>of the Revised Code knows of an objection by another member of the class. If an objection is known, the gift may be made only by most the members of the class who are reasonably available.</w:t>
      </w:r>
    </w:p>
    <w:p w14:paraId="7B122C5C" w14:textId="74625211" w:rsidR="6FB45B0A" w:rsidRDefault="6FB45B0A" w:rsidP="60CA92D4">
      <w:pPr>
        <w:spacing w:line="276" w:lineRule="auto"/>
        <w:rPr>
          <w:rFonts w:ascii="Calibri" w:eastAsia="Calibri" w:hAnsi="Calibri" w:cs="Calibri"/>
          <w:color w:val="000000" w:themeColor="text1"/>
        </w:rPr>
      </w:pPr>
      <w:r w:rsidRPr="60CA92D4">
        <w:rPr>
          <w:rFonts w:ascii="Calibri" w:eastAsia="Calibri" w:hAnsi="Calibri" w:cs="Calibri"/>
          <w:color w:val="000000" w:themeColor="text1"/>
        </w:rPr>
        <w:t>(C) A person shall not make an anatomical gift if, at the time of the decedent’s death, a person in a prior class under division (A) of this section is reasonably available to make or object to the making of an anatomical gift.</w:t>
      </w:r>
    </w:p>
    <w:p w14:paraId="76B57A0E" w14:textId="527097E6" w:rsidR="60CA92D4" w:rsidRDefault="60CA92D4" w:rsidP="60CA92D4">
      <w:pPr>
        <w:spacing w:line="276" w:lineRule="auto"/>
        <w:rPr>
          <w:rFonts w:ascii="Calibri" w:eastAsia="Calibri" w:hAnsi="Calibri" w:cs="Calibri"/>
          <w:color w:val="000000" w:themeColor="text1"/>
        </w:rPr>
      </w:pPr>
    </w:p>
    <w:p w14:paraId="6C3CE92A" w14:textId="571F11E2" w:rsidR="6FB45B0A" w:rsidRDefault="6FB45B0A" w:rsidP="60CA92D4">
      <w:pPr>
        <w:spacing w:after="200" w:line="276" w:lineRule="auto"/>
        <w:rPr>
          <w:rFonts w:ascii="Calibri" w:eastAsia="Calibri" w:hAnsi="Calibri" w:cs="Calibri"/>
          <w:color w:val="000000" w:themeColor="text1"/>
        </w:rPr>
      </w:pPr>
      <w:r w:rsidRPr="60CA92D4">
        <w:rPr>
          <w:rFonts w:ascii="Calibri" w:eastAsia="Calibri" w:hAnsi="Calibri" w:cs="Calibri"/>
          <w:b/>
          <w:bCs/>
          <w:color w:val="000000" w:themeColor="text1"/>
          <w:u w:val="single"/>
        </w:rPr>
        <w:t>11a: IDENTIFYING DONORS</w:t>
      </w:r>
    </w:p>
    <w:p w14:paraId="7896D079" w14:textId="60E41ACB" w:rsidR="6FB45B0A" w:rsidRDefault="6FB45B0A" w:rsidP="60CA92D4">
      <w:pPr>
        <w:widowControl w:val="0"/>
        <w:spacing w:after="0" w:line="276" w:lineRule="auto"/>
        <w:ind w:right="66"/>
        <w:rPr>
          <w:rFonts w:ascii="Calibri" w:eastAsia="Calibri" w:hAnsi="Calibri" w:cs="Calibri"/>
          <w:color w:val="000000" w:themeColor="text1"/>
        </w:rPr>
      </w:pPr>
      <w:r w:rsidRPr="60CA92D4">
        <w:rPr>
          <w:rFonts w:ascii="Calibri" w:eastAsia="Calibri" w:hAnsi="Calibri" w:cs="Calibri"/>
          <w:color w:val="000000" w:themeColor="text1"/>
        </w:rPr>
        <w:t>Potential donors are usually discovered by the Coroner Investigator during a scene investigation by viewing the decedent’s driver’s license. Ohio Driver’s Licenses use a symbol of a red heart indicating the holder of that license has an entry on the donor registration. When that designation is known to the Coroner Investigator the following procedure shall apply:</w:t>
      </w:r>
    </w:p>
    <w:p w14:paraId="235C4D67" w14:textId="585BD9DF" w:rsidR="6FB45B0A" w:rsidRDefault="6FB45B0A" w:rsidP="60CA92D4">
      <w:pPr>
        <w:widowControl w:val="0"/>
        <w:spacing w:before="2" w:after="0" w:line="276" w:lineRule="auto"/>
        <w:rPr>
          <w:rFonts w:ascii="Calibri" w:eastAsia="Calibri" w:hAnsi="Calibri" w:cs="Calibri"/>
          <w:color w:val="000000" w:themeColor="text1"/>
        </w:rPr>
      </w:pPr>
      <w:r w:rsidRPr="60CA92D4">
        <w:rPr>
          <w:rFonts w:ascii="Calibri" w:eastAsia="Calibri" w:hAnsi="Calibri" w:cs="Calibri"/>
          <w:color w:val="000000" w:themeColor="text1"/>
        </w:rPr>
        <w:t xml:space="preserve"> </w:t>
      </w:r>
    </w:p>
    <w:p w14:paraId="1B1AA6EF" w14:textId="00F26471"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The Coroner Investigator must become familiar with the general guidelines for an eligible donor including, but not limited to, time since death or presence of diseases that preclude donation. Donor Alliance offers these minimal guidelines:</w:t>
      </w:r>
    </w:p>
    <w:p w14:paraId="5A9CD37E" w14:textId="18831181"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Full term birth to no upper age limit (upper age limit may move around or decrease based on the need for the community)</w:t>
      </w:r>
    </w:p>
    <w:p w14:paraId="3E3CC8B4" w14:textId="0630333D"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No HIV</w:t>
      </w:r>
    </w:p>
    <w:p w14:paraId="5C41AB1F" w14:textId="0265783A"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No infectious Hepatitis</w:t>
      </w:r>
    </w:p>
    <w:p w14:paraId="3320D7A0" w14:textId="65E012C3"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Cancer or Auto Immune Disease:</w:t>
      </w:r>
    </w:p>
    <w:p w14:paraId="6C3C0E41" w14:textId="61E7FD0D"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Will need more information about current treatments</w:t>
      </w:r>
    </w:p>
    <w:p w14:paraId="53D68CDB" w14:textId="5A11D8BC"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Traveled or lived outside of the U.S. in the past 3 years?</w:t>
      </w:r>
    </w:p>
    <w:p w14:paraId="1BF2E5FD" w14:textId="124EA554"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Will need to know where and for how long</w:t>
      </w:r>
    </w:p>
    <w:p w14:paraId="6176E92B" w14:textId="401C5411"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No use of IV drugs</w:t>
      </w:r>
    </w:p>
    <w:p w14:paraId="52E6F96C" w14:textId="10E7BC86"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Ever an inmate of a correctional facility or jail?</w:t>
      </w:r>
    </w:p>
    <w:p w14:paraId="5D356E41" w14:textId="7D97C55A"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Will need to know how long</w:t>
      </w:r>
    </w:p>
    <w:p w14:paraId="4BD005E0" w14:textId="3E39A8A7"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Last known alive time must be less than 24 hours</w:t>
      </w:r>
    </w:p>
    <w:p w14:paraId="349F6B86" w14:textId="73863260"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Decedent must be refrigerated within the first 12 hours of death</w:t>
      </w:r>
    </w:p>
    <w:p w14:paraId="7C71F283" w14:textId="1BBB42AC"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The Coroner Investigator shall inquire if family wants to allow donation.</w:t>
      </w:r>
    </w:p>
    <w:p w14:paraId="4C960C56" w14:textId="5CE3796A"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lastRenderedPageBreak/>
        <w:t>If the family concurs with the decedent’s request, the Coroner Investigator shall ask for approval in providing contact information to the appropriate donor agency.</w:t>
      </w:r>
    </w:p>
    <w:p w14:paraId="285303B3" w14:textId="3481CBE8"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The Coroner Investigator shall contact the appropriate donor agency either at the scene or immediately after leaving the scene and shall provide minimum information to the donor agency such that that agency may begin their procedures.</w:t>
      </w:r>
    </w:p>
    <w:p w14:paraId="0A2D2FF2" w14:textId="50FCBD71"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If the family denies the decedent’s wishes, the Coroner Investigator shall make note of that fact.</w:t>
      </w:r>
    </w:p>
    <w:p w14:paraId="06BF8BFE" w14:textId="4202D44D"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The donor agencies shall not be contacted on denials.</w:t>
      </w:r>
    </w:p>
    <w:p w14:paraId="2C90EAC8" w14:textId="28AFA575" w:rsidR="6FB45B0A" w:rsidRDefault="6FB45B0A" w:rsidP="60CA92D4">
      <w:pPr>
        <w:pStyle w:val="ListParagraph"/>
        <w:widowControl w:val="0"/>
        <w:tabs>
          <w:tab w:val="left" w:pos="820"/>
        </w:tabs>
        <w:spacing w:after="0" w:line="276" w:lineRule="auto"/>
        <w:ind w:right="20"/>
        <w:rPr>
          <w:rFonts w:ascii="Calibri" w:eastAsia="Calibri" w:hAnsi="Calibri" w:cs="Calibri"/>
          <w:color w:val="000000" w:themeColor="text1"/>
        </w:rPr>
      </w:pPr>
      <w:r w:rsidRPr="60CA92D4">
        <w:rPr>
          <w:rFonts w:ascii="Calibri" w:eastAsia="Calibri" w:hAnsi="Calibri" w:cs="Calibri"/>
          <w:color w:val="000000" w:themeColor="text1"/>
        </w:rPr>
        <w:t>In the event the decedent’s driver’s license is unavailable or the driver’s license indicates the decedent did not express wishes to be a donor, the Coroner Investigator shall tactfully initiate a conversation with the family following the guidelines listed above.</w:t>
      </w:r>
    </w:p>
    <w:p w14:paraId="61586616" w14:textId="7E3D3C29" w:rsidR="60CA92D4" w:rsidRDefault="60CA92D4" w:rsidP="60CA92D4">
      <w:pPr>
        <w:widowControl w:val="0"/>
        <w:spacing w:before="3" w:after="0" w:line="276" w:lineRule="auto"/>
        <w:rPr>
          <w:rFonts w:ascii="Calibri" w:eastAsia="Calibri" w:hAnsi="Calibri" w:cs="Calibri"/>
          <w:color w:val="000000" w:themeColor="text1"/>
        </w:rPr>
      </w:pPr>
    </w:p>
    <w:p w14:paraId="3D379B70" w14:textId="4E9ECA30" w:rsidR="60CA92D4" w:rsidRDefault="60CA92D4" w:rsidP="60CA92D4">
      <w:pPr>
        <w:widowControl w:val="0"/>
        <w:spacing w:before="3" w:after="0" w:line="276" w:lineRule="auto"/>
        <w:rPr>
          <w:rFonts w:ascii="Calibri" w:eastAsia="Calibri" w:hAnsi="Calibri" w:cs="Calibri"/>
          <w:color w:val="000000" w:themeColor="text1"/>
        </w:rPr>
      </w:pPr>
    </w:p>
    <w:p w14:paraId="478271C8" w14:textId="6859E1B2" w:rsidR="6FB45B0A" w:rsidRDefault="6FB45B0A" w:rsidP="60CA92D4">
      <w:pPr>
        <w:widowControl w:val="0"/>
        <w:spacing w:after="0" w:line="276" w:lineRule="auto"/>
        <w:ind w:left="100"/>
        <w:rPr>
          <w:rFonts w:ascii="Calibri" w:eastAsia="Calibri" w:hAnsi="Calibri" w:cs="Calibri"/>
          <w:color w:val="000000" w:themeColor="text1"/>
          <w:sz w:val="28"/>
          <w:szCs w:val="28"/>
        </w:rPr>
      </w:pPr>
      <w:r w:rsidRPr="60CA92D4">
        <w:rPr>
          <w:rFonts w:ascii="Calibri" w:eastAsia="Calibri" w:hAnsi="Calibri" w:cs="Calibri"/>
          <w:b/>
          <w:bCs/>
          <w:color w:val="000000" w:themeColor="text1"/>
          <w:sz w:val="28"/>
          <w:szCs w:val="28"/>
          <w:u w:val="single"/>
        </w:rPr>
        <w:t>11b. COORDINATING DONATIONS</w:t>
      </w:r>
    </w:p>
    <w:p w14:paraId="1F76EF4E" w14:textId="25DECD06" w:rsidR="60CA92D4" w:rsidRDefault="60CA92D4" w:rsidP="60CA92D4">
      <w:pPr>
        <w:widowControl w:val="0"/>
        <w:spacing w:before="2" w:after="0" w:line="276" w:lineRule="auto"/>
        <w:rPr>
          <w:rFonts w:ascii="Calibri" w:eastAsia="Calibri" w:hAnsi="Calibri" w:cs="Calibri"/>
          <w:color w:val="000000" w:themeColor="text1"/>
        </w:rPr>
      </w:pPr>
    </w:p>
    <w:p w14:paraId="3ADDC4BC" w14:textId="0FB57685" w:rsidR="6FB45B0A" w:rsidRDefault="6FB45B0A" w:rsidP="60CA92D4">
      <w:pPr>
        <w:widowControl w:val="0"/>
        <w:spacing w:after="0" w:line="276" w:lineRule="auto"/>
        <w:ind w:left="100" w:right="66"/>
        <w:rPr>
          <w:rFonts w:ascii="Calibri" w:eastAsia="Calibri" w:hAnsi="Calibri" w:cs="Calibri"/>
          <w:color w:val="000000" w:themeColor="text1"/>
        </w:rPr>
      </w:pPr>
      <w:r w:rsidRPr="60CA92D4">
        <w:rPr>
          <w:rFonts w:ascii="Calibri" w:eastAsia="Calibri" w:hAnsi="Calibri" w:cs="Calibri"/>
          <w:color w:val="000000" w:themeColor="text1"/>
        </w:rPr>
        <w:t>The Coroner Investigator is responsible for coordinating information between the appropriate donor agency, the family, and the forensic pathologist.</w:t>
      </w:r>
    </w:p>
    <w:p w14:paraId="6153012E" w14:textId="163B8479" w:rsidR="60CA92D4" w:rsidRDefault="60CA92D4" w:rsidP="60CA92D4">
      <w:pPr>
        <w:widowControl w:val="0"/>
        <w:spacing w:before="2" w:after="0" w:line="276" w:lineRule="auto"/>
        <w:rPr>
          <w:rFonts w:ascii="Calibri" w:eastAsia="Calibri" w:hAnsi="Calibri" w:cs="Calibri"/>
          <w:color w:val="000000" w:themeColor="text1"/>
        </w:rPr>
      </w:pPr>
    </w:p>
    <w:p w14:paraId="058DC812" w14:textId="1D7A770A" w:rsidR="6FB45B0A" w:rsidRDefault="6FB45B0A" w:rsidP="60CA92D4">
      <w:pPr>
        <w:pStyle w:val="ListParagraph"/>
        <w:widowControl w:val="0"/>
        <w:tabs>
          <w:tab w:val="left" w:pos="820"/>
        </w:tabs>
        <w:spacing w:after="0" w:line="276" w:lineRule="auto"/>
        <w:ind w:right="71"/>
        <w:rPr>
          <w:rFonts w:ascii="Calibri" w:eastAsia="Calibri" w:hAnsi="Calibri" w:cs="Calibri"/>
          <w:color w:val="000000" w:themeColor="text1"/>
        </w:rPr>
      </w:pPr>
      <w:r w:rsidRPr="60CA92D4">
        <w:rPr>
          <w:rFonts w:ascii="Calibri" w:eastAsia="Calibri" w:hAnsi="Calibri" w:cs="Calibri"/>
          <w:color w:val="000000" w:themeColor="text1"/>
        </w:rPr>
        <w:t>If the decedent appears to be an eligible donor, is released without a postmortem examination and the family agrees to donation the Coroner Investigator shall at a minimum:</w:t>
      </w:r>
    </w:p>
    <w:p w14:paraId="7EB03C9D" w14:textId="30B78E78" w:rsidR="60CA92D4" w:rsidRDefault="60CA92D4" w:rsidP="60CA92D4">
      <w:pPr>
        <w:widowControl w:val="0"/>
        <w:spacing w:before="2" w:after="0" w:line="276" w:lineRule="auto"/>
        <w:rPr>
          <w:rFonts w:ascii="Calibri" w:eastAsia="Calibri" w:hAnsi="Calibri" w:cs="Calibri"/>
          <w:color w:val="000000" w:themeColor="text1"/>
        </w:rPr>
      </w:pPr>
    </w:p>
    <w:p w14:paraId="45F78C23" w14:textId="504B8AFB" w:rsidR="6FB45B0A" w:rsidRDefault="6FB45B0A" w:rsidP="60CA92D4">
      <w:pPr>
        <w:pStyle w:val="ListParagraph"/>
        <w:widowControl w:val="0"/>
        <w:tabs>
          <w:tab w:val="left" w:pos="1180"/>
        </w:tabs>
        <w:spacing w:after="0" w:line="276" w:lineRule="auto"/>
        <w:rPr>
          <w:rFonts w:ascii="Calibri" w:eastAsia="Calibri" w:hAnsi="Calibri" w:cs="Calibri"/>
          <w:color w:val="000000" w:themeColor="text1"/>
        </w:rPr>
      </w:pPr>
      <w:r w:rsidRPr="60CA92D4">
        <w:rPr>
          <w:rFonts w:ascii="Calibri" w:eastAsia="Calibri" w:hAnsi="Calibri" w:cs="Calibri"/>
          <w:color w:val="000000" w:themeColor="text1"/>
        </w:rPr>
        <w:t>Call the donor referral line and provide minimal information required.</w:t>
      </w:r>
    </w:p>
    <w:p w14:paraId="31AEF08E" w14:textId="064441CE" w:rsidR="60CA92D4" w:rsidRDefault="60CA92D4" w:rsidP="60CA92D4">
      <w:pPr>
        <w:widowControl w:val="0"/>
        <w:spacing w:after="0" w:line="276" w:lineRule="auto"/>
        <w:rPr>
          <w:rFonts w:ascii="Calibri" w:eastAsia="Calibri" w:hAnsi="Calibri" w:cs="Calibri"/>
          <w:color w:val="000000" w:themeColor="text1"/>
        </w:rPr>
      </w:pPr>
    </w:p>
    <w:p w14:paraId="4F741492" w14:textId="7356D44A" w:rsidR="6FB45B0A" w:rsidRDefault="6FB45B0A" w:rsidP="60CA92D4">
      <w:pPr>
        <w:pStyle w:val="ListParagraph"/>
        <w:widowControl w:val="0"/>
        <w:tabs>
          <w:tab w:val="left" w:pos="1180"/>
        </w:tabs>
        <w:spacing w:before="19" w:after="0" w:line="276" w:lineRule="auto"/>
        <w:rPr>
          <w:rFonts w:ascii="Calibri" w:eastAsia="Calibri" w:hAnsi="Calibri" w:cs="Calibri"/>
          <w:color w:val="000000" w:themeColor="text1"/>
        </w:rPr>
      </w:pPr>
      <w:r w:rsidRPr="60CA92D4">
        <w:rPr>
          <w:rFonts w:ascii="Calibri" w:eastAsia="Calibri" w:hAnsi="Calibri" w:cs="Calibri"/>
          <w:color w:val="000000" w:themeColor="text1"/>
        </w:rPr>
        <w:t>Notify the family that the donor agency will be calling them.</w:t>
      </w:r>
    </w:p>
    <w:p w14:paraId="17438028" w14:textId="5815905A" w:rsidR="60CA92D4" w:rsidRDefault="60CA92D4" w:rsidP="60CA92D4">
      <w:pPr>
        <w:widowControl w:val="0"/>
        <w:spacing w:before="16" w:after="0" w:line="276" w:lineRule="auto"/>
        <w:rPr>
          <w:rFonts w:ascii="Calibri" w:eastAsia="Calibri" w:hAnsi="Calibri" w:cs="Calibri"/>
          <w:color w:val="000000" w:themeColor="text1"/>
        </w:rPr>
      </w:pPr>
    </w:p>
    <w:p w14:paraId="0833D50E" w14:textId="062F815B"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If the decedent appears to be an eligible donor, will require a postmortem examination and the family agrees to donation the Coroner Investigator shall at a minimum:</w:t>
      </w:r>
    </w:p>
    <w:p w14:paraId="5C021039" w14:textId="17136693"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 xml:space="preserve">Call the donor referral line and provide minimal information required. </w:t>
      </w:r>
    </w:p>
    <w:p w14:paraId="06A8245E" w14:textId="0F653F3D"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Notify the family that the donor agency will be calling them.</w:t>
      </w:r>
    </w:p>
    <w:p w14:paraId="0DD245EB" w14:textId="122BBF15"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Notify the forensic pathologist assigned to the postmortem examination and coordinate a schedule to facilitate the donation.</w:t>
      </w:r>
    </w:p>
    <w:p w14:paraId="52970534" w14:textId="27CD6175"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 xml:space="preserve">Organ donation may or may not be approved based on circumstances of the death. However, all efforts </w:t>
      </w:r>
      <w:proofErr w:type="gramStart"/>
      <w:r w:rsidRPr="60CA92D4">
        <w:rPr>
          <w:rFonts w:ascii="Calibri" w:eastAsia="Calibri" w:hAnsi="Calibri" w:cs="Calibri"/>
          <w:color w:val="000000" w:themeColor="text1"/>
        </w:rPr>
        <w:t>shall</w:t>
      </w:r>
      <w:proofErr w:type="gramEnd"/>
      <w:r w:rsidRPr="60CA92D4">
        <w:rPr>
          <w:rFonts w:ascii="Calibri" w:eastAsia="Calibri" w:hAnsi="Calibri" w:cs="Calibri"/>
          <w:color w:val="000000" w:themeColor="text1"/>
        </w:rPr>
        <w:t xml:space="preserve"> be made to accommodate the donation.</w:t>
      </w:r>
    </w:p>
    <w:p w14:paraId="08AA394E" w14:textId="34B66B03"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 xml:space="preserve">Tissue donation may or may not be approved based on the circumstances of the death. However, all efforts </w:t>
      </w:r>
      <w:proofErr w:type="gramStart"/>
      <w:r w:rsidRPr="60CA92D4">
        <w:rPr>
          <w:rFonts w:ascii="Calibri" w:eastAsia="Calibri" w:hAnsi="Calibri" w:cs="Calibri"/>
          <w:color w:val="000000" w:themeColor="text1"/>
        </w:rPr>
        <w:t>shall</w:t>
      </w:r>
      <w:proofErr w:type="gramEnd"/>
      <w:r w:rsidRPr="60CA92D4">
        <w:rPr>
          <w:rFonts w:ascii="Calibri" w:eastAsia="Calibri" w:hAnsi="Calibri" w:cs="Calibri"/>
          <w:color w:val="000000" w:themeColor="text1"/>
        </w:rPr>
        <w:t xml:space="preserve"> be made to accommodate the donation.</w:t>
      </w:r>
    </w:p>
    <w:p w14:paraId="0E035E99" w14:textId="71026B5D"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 xml:space="preserve">Tissue donation may be allowed either prior to or after the postmortem examination </w:t>
      </w:r>
      <w:r w:rsidRPr="60CA92D4">
        <w:rPr>
          <w:rFonts w:ascii="Calibri" w:eastAsia="Calibri" w:hAnsi="Calibri" w:cs="Calibri"/>
          <w:color w:val="000000" w:themeColor="text1"/>
        </w:rPr>
        <w:lastRenderedPageBreak/>
        <w:t>based on the circumstances of the death.</w:t>
      </w:r>
    </w:p>
    <w:p w14:paraId="785EEB0F" w14:textId="7D212738" w:rsidR="6FB45B0A" w:rsidRDefault="6FB45B0A" w:rsidP="60CA92D4">
      <w:pPr>
        <w:pStyle w:val="ListParagraph"/>
        <w:widowControl w:val="0"/>
        <w:tabs>
          <w:tab w:val="left" w:pos="820"/>
        </w:tabs>
        <w:spacing w:after="0" w:line="276" w:lineRule="auto"/>
        <w:ind w:right="77"/>
        <w:rPr>
          <w:rFonts w:ascii="Calibri" w:eastAsia="Calibri" w:hAnsi="Calibri" w:cs="Calibri"/>
          <w:color w:val="000000" w:themeColor="text1"/>
        </w:rPr>
      </w:pPr>
      <w:r w:rsidRPr="60CA92D4">
        <w:rPr>
          <w:rFonts w:ascii="Calibri" w:eastAsia="Calibri" w:hAnsi="Calibri" w:cs="Calibri"/>
          <w:color w:val="000000" w:themeColor="text1"/>
        </w:rPr>
        <w:t>The Coroner Investigator/Coroner shall be the sole contact point, excluding the donor’s family, for the donor agency and shall insure that all donor agency responsibilities have been performed including the transfer of the decedent to the designated mortuary/funeral home.</w:t>
      </w:r>
    </w:p>
    <w:p w14:paraId="6AC1F761" w14:textId="6EACA6C5" w:rsidR="60CA92D4" w:rsidRDefault="60CA92D4" w:rsidP="60CA92D4">
      <w:pPr>
        <w:spacing w:line="276" w:lineRule="auto"/>
        <w:rPr>
          <w:rFonts w:ascii="Calibri" w:eastAsia="Calibri" w:hAnsi="Calibri" w:cs="Calibri"/>
          <w:color w:val="000000" w:themeColor="text1"/>
        </w:rPr>
      </w:pPr>
    </w:p>
    <w:p w14:paraId="58FDAB8C" w14:textId="6A276FF3" w:rsidR="60CA92D4" w:rsidRDefault="60CA92D4" w:rsidP="60CA92D4">
      <w:pPr>
        <w:spacing w:line="276" w:lineRule="auto"/>
        <w:rPr>
          <w:rFonts w:ascii="Calibri" w:eastAsia="Calibri" w:hAnsi="Calibri" w:cs="Calibri"/>
          <w:color w:val="000000" w:themeColor="text1"/>
        </w:rPr>
      </w:pPr>
    </w:p>
    <w:p w14:paraId="1E34E8AE" w14:textId="550657A3" w:rsidR="60CA92D4" w:rsidRDefault="60CA92D4" w:rsidP="60CA92D4">
      <w:pPr>
        <w:spacing w:line="276" w:lineRule="auto"/>
        <w:rPr>
          <w:rFonts w:ascii="Calibri" w:eastAsia="Calibri" w:hAnsi="Calibri" w:cs="Calibri"/>
          <w:color w:val="000000" w:themeColor="text1"/>
        </w:rPr>
      </w:pPr>
    </w:p>
    <w:p w14:paraId="1B32199D" w14:textId="10B1035F" w:rsidR="60CA92D4" w:rsidRDefault="60CA92D4" w:rsidP="60CA92D4">
      <w:pPr>
        <w:spacing w:line="276" w:lineRule="auto"/>
        <w:rPr>
          <w:rFonts w:ascii="Calibri" w:eastAsia="Calibri" w:hAnsi="Calibri" w:cs="Calibri"/>
          <w:color w:val="000000" w:themeColor="text1"/>
        </w:rPr>
      </w:pPr>
    </w:p>
    <w:p w14:paraId="72B0AA9A" w14:textId="345786E4" w:rsidR="60CA92D4" w:rsidRDefault="60CA92D4" w:rsidP="60CA92D4">
      <w:pPr>
        <w:spacing w:line="276" w:lineRule="auto"/>
        <w:rPr>
          <w:rFonts w:ascii="Calibri" w:eastAsia="Calibri" w:hAnsi="Calibri" w:cs="Calibri"/>
          <w:color w:val="000000" w:themeColor="text1"/>
        </w:rPr>
      </w:pPr>
    </w:p>
    <w:p w14:paraId="22D65FE3" w14:textId="5918C3FC" w:rsidR="60CA92D4" w:rsidRDefault="60CA92D4" w:rsidP="60CA92D4">
      <w:pPr>
        <w:spacing w:line="276" w:lineRule="auto"/>
        <w:rPr>
          <w:rFonts w:ascii="Calibri" w:eastAsia="Calibri" w:hAnsi="Calibri" w:cs="Calibri"/>
          <w:color w:val="000000" w:themeColor="text1"/>
        </w:rPr>
      </w:pPr>
    </w:p>
    <w:p w14:paraId="6A54603D" w14:textId="42D3255F" w:rsidR="60CA92D4" w:rsidRDefault="60CA92D4" w:rsidP="60CA92D4">
      <w:pPr>
        <w:spacing w:line="276" w:lineRule="auto"/>
        <w:rPr>
          <w:rFonts w:ascii="Calibri" w:eastAsia="Calibri" w:hAnsi="Calibri" w:cs="Calibri"/>
          <w:color w:val="000000" w:themeColor="text1"/>
        </w:rPr>
      </w:pPr>
    </w:p>
    <w:p w14:paraId="21FF68DB" w14:textId="318AD955" w:rsidR="60CA92D4" w:rsidRDefault="60CA92D4" w:rsidP="60CA92D4">
      <w:pPr>
        <w:spacing w:line="276" w:lineRule="auto"/>
        <w:rPr>
          <w:rFonts w:ascii="Calibri" w:eastAsia="Calibri" w:hAnsi="Calibri" w:cs="Calibri"/>
          <w:color w:val="000000" w:themeColor="text1"/>
        </w:rPr>
      </w:pPr>
    </w:p>
    <w:p w14:paraId="7CA7CCBA" w14:textId="2D2770BD" w:rsidR="60CA92D4" w:rsidRDefault="60CA92D4" w:rsidP="60CA92D4"/>
    <w:sectPr w:rsidR="60CA92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ACF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034DD71"/>
    <w:rsid w:val="00056638"/>
    <w:rsid w:val="002E59DE"/>
    <w:rsid w:val="1034DD71"/>
    <w:rsid w:val="60CA92D4"/>
    <w:rsid w:val="6FB45B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35AFD"/>
  <w15:chartTrackingRefBased/>
  <w15:docId w15:val="{37FC60F3-0908-429C-B12A-05E6CBC7C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customStyle="1" w:styleId="apple-converted-space">
    <w:name w:val="apple-converted-space"/>
    <w:basedOn w:val="DefaultParagraphFont"/>
    <w:uiPriority w:val="1"/>
    <w:rsid w:val="60CA92D4"/>
    <w:rPr>
      <w:rFonts w:ascii="Times New Roman" w:eastAsiaTheme="minorEastAsia" w:hAnsi="Times New Roman" w:cs="Times New Roman"/>
      <w:sz w:val="24"/>
      <w:szCs w:val="24"/>
    </w:rPr>
  </w:style>
  <w:style w:type="character" w:styleId="Hyperlink">
    <w:name w:val="Hyperlink"/>
    <w:basedOn w:val="DefaultParagraphFont"/>
    <w:uiPriority w:val="99"/>
    <w:unhideWhenUsed/>
    <w:rsid w:val="60CA92D4"/>
    <w:rPr>
      <w:color w:val="467886"/>
      <w:u w:val="single"/>
    </w:rPr>
  </w:style>
  <w:style w:type="paragraph" w:styleId="ListParagraph">
    <w:name w:val="List Paragraph"/>
    <w:basedOn w:val="Normal"/>
    <w:uiPriority w:val="34"/>
    <w:qFormat/>
    <w:rsid w:val="60CA92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odes.ohio.gov/orc/2108.08" TargetMode="External"/><Relationship Id="rId13" Type="http://schemas.openxmlformats.org/officeDocument/2006/relationships/hyperlink" Target="http://codes.ohio.gov/orc/2108.11" TargetMode="External"/><Relationship Id="rId3" Type="http://schemas.openxmlformats.org/officeDocument/2006/relationships/customXml" Target="../customXml/item3.xml"/><Relationship Id="rId7" Type="http://schemas.openxmlformats.org/officeDocument/2006/relationships/hyperlink" Target="http://codes.ohio.gov/orc/2108.07" TargetMode="External"/><Relationship Id="rId12" Type="http://schemas.openxmlformats.org/officeDocument/2006/relationships/hyperlink" Target="http://codes.ohio.gov/orc/2108.81"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odes.ohio.gov/orc/2108.70"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codes.ohio.gov/orc/2108.04" TargetMode="External"/><Relationship Id="rId4" Type="http://schemas.openxmlformats.org/officeDocument/2006/relationships/styles" Target="styles.xml"/><Relationship Id="rId9" Type="http://schemas.openxmlformats.org/officeDocument/2006/relationships/hyperlink" Target="http://codes.ohio.gov/orc/2108.1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2759BD0-33C7-4344-924E-73467127AF34}">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AA8D626A-7358-455C-9694-28625439C71A}">
  <ds:schemaRefs>
    <ds:schemaRef ds:uri="http://schemas.microsoft.com/sharepoint/v3/contenttype/forms"/>
  </ds:schemaRefs>
</ds:datastoreItem>
</file>

<file path=customXml/itemProps3.xml><?xml version="1.0" encoding="utf-8"?>
<ds:datastoreItem xmlns:ds="http://schemas.openxmlformats.org/officeDocument/2006/customXml" ds:itemID="{9A06391A-75AD-49F9-8844-4733CA38D1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989</Words>
  <Characters>5641</Characters>
  <Application>Microsoft Office Word</Application>
  <DocSecurity>0</DocSecurity>
  <Lines>47</Lines>
  <Paragraphs>13</Paragraphs>
  <ScaleCrop>false</ScaleCrop>
  <Company/>
  <LinksUpToDate>false</LinksUpToDate>
  <CharactersWithSpaces>6617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2026-05-19T21:58:00Z</dcterms:created>
  <dcterms:modified xsi:type="dcterms:W3CDTF">2026-05-19T21:58:00Z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