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58BEA6"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Transporting the Deceased</w:t>
      </w:r>
      <w:r>
        <w:rPr>
          <w:rStyle w:val="eop"/>
          <w:rFonts w:eastAsiaTheme="majorEastAsia"/>
        </w:rPr>
        <w:t> </w:t>
      </w:r>
    </w:p>
    <w:p w14:paraId="1E96A0C0"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13A1B34E"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If the body is not being released to the funeral home from the scene, the Investigator will prepare the body for transport using the following procedures depending on the type of call.</w:t>
      </w:r>
      <w:r>
        <w:rPr>
          <w:rStyle w:val="eop"/>
          <w:rFonts w:eastAsiaTheme="majorEastAsia"/>
        </w:rPr>
        <w:t> </w:t>
      </w:r>
    </w:p>
    <w:p w14:paraId="3D686ABD" w14:textId="77777777" w:rsidR="00250EAA" w:rsidRDefault="00250EAA" w:rsidP="00250EAA">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69D39F5D" w14:textId="77777777" w:rsidR="00250EAA" w:rsidRDefault="00250EAA" w:rsidP="00250EAA">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 xml:space="preserve">a. The Investigator should try to package the body in the position it was found, especially on homicide cases, with any devices </w:t>
      </w:r>
      <w:proofErr w:type="gramStart"/>
      <w:r>
        <w:rPr>
          <w:rStyle w:val="normaltextrun"/>
          <w:rFonts w:eastAsiaTheme="majorEastAsia"/>
        </w:rPr>
        <w:t>in tact</w:t>
      </w:r>
      <w:proofErr w:type="gramEnd"/>
      <w:r>
        <w:rPr>
          <w:rStyle w:val="normaltextrun"/>
          <w:rFonts w:eastAsiaTheme="majorEastAsia"/>
        </w:rPr>
        <w:t xml:space="preserve"> in the original location (knife that is still in a stab wound, medical devices, etc.)</w:t>
      </w:r>
      <w:r>
        <w:rPr>
          <w:rStyle w:val="eop"/>
          <w:rFonts w:eastAsiaTheme="majorEastAsia"/>
        </w:rPr>
        <w:t> </w:t>
      </w:r>
    </w:p>
    <w:p w14:paraId="7695904B"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2CD8175" w14:textId="77777777" w:rsidR="00250EAA" w:rsidRDefault="00250EAA" w:rsidP="00250EAA">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b. The body will be placed in a zippered body bag if it’s a difficult extraction, suspicious death, homicide, decomposed, or where there are large amounts of fluid leakage from a wound or otherwise.</w:t>
      </w:r>
      <w:r>
        <w:rPr>
          <w:rStyle w:val="eop"/>
          <w:rFonts w:eastAsiaTheme="majorEastAsia"/>
        </w:rPr>
        <w:t> </w:t>
      </w:r>
    </w:p>
    <w:p w14:paraId="00EC5B38"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6743489" w14:textId="77777777" w:rsidR="00250EAA" w:rsidRDefault="00250EAA" w:rsidP="00250EAA">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 xml:space="preserve">c. If the case is criminal in nature (homicide, possible homicide, and custody death) the Investigator will seal the body bag by placing a plastic lock through both zipper holes. This procedure should be photographed before and after the lock is secured. The lock number will be recorded in the </w:t>
      </w:r>
      <w:proofErr w:type="spellStart"/>
      <w:r>
        <w:rPr>
          <w:rStyle w:val="normaltextrun"/>
          <w:rFonts w:eastAsiaTheme="majorEastAsia"/>
        </w:rPr>
        <w:t>MDILog</w:t>
      </w:r>
      <w:proofErr w:type="spellEnd"/>
      <w:r>
        <w:rPr>
          <w:rStyle w:val="normaltextrun"/>
          <w:rFonts w:eastAsiaTheme="majorEastAsia"/>
        </w:rPr>
        <w:t xml:space="preserve"> case file. </w:t>
      </w:r>
      <w:r>
        <w:rPr>
          <w:rStyle w:val="eop"/>
          <w:rFonts w:eastAsiaTheme="majorEastAsia"/>
        </w:rPr>
        <w:t> </w:t>
      </w:r>
    </w:p>
    <w:p w14:paraId="3310204C"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CB3CF40" w14:textId="77777777" w:rsidR="00250EAA" w:rsidRDefault="00250EAA" w:rsidP="00250EAA">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d. If the case does not fit the above criteria, the decedent may be placed in a white plastic “envelope” for transport.</w:t>
      </w:r>
      <w:r>
        <w:rPr>
          <w:rStyle w:val="eop"/>
          <w:rFonts w:eastAsiaTheme="majorEastAsia"/>
        </w:rPr>
        <w:t> </w:t>
      </w:r>
    </w:p>
    <w:p w14:paraId="692270F3"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54004A" w14:textId="77777777" w:rsidR="00250EAA" w:rsidRDefault="00250EAA" w:rsidP="00250EAA">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 xml:space="preserve">e. The time that the Investigator leaves the scene with the body AND the arrival time at </w:t>
      </w:r>
      <w:r>
        <w:rPr>
          <w:rStyle w:val="tabchar"/>
          <w:rFonts w:ascii="Calibri" w:eastAsiaTheme="majorEastAsia" w:hAnsi="Calibri" w:cs="Calibri"/>
        </w:rPr>
        <w:tab/>
      </w:r>
      <w:r>
        <w:rPr>
          <w:rStyle w:val="normaltextrun"/>
          <w:rFonts w:eastAsiaTheme="majorEastAsia"/>
        </w:rPr>
        <w:t>the funeral home &amp;/or Autopsy facility should both be recorded for chain of custody.</w:t>
      </w:r>
      <w:r>
        <w:rPr>
          <w:rStyle w:val="eop"/>
          <w:rFonts w:eastAsiaTheme="majorEastAsia"/>
        </w:rPr>
        <w:t> </w:t>
      </w:r>
    </w:p>
    <w:p w14:paraId="569C0F84"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C0C25BA"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If the body is being released to the funeral home from the scene, the Investigator will contact either the on-call funeral home or the funeral home the family chooses to retrieve the body. </w:t>
      </w:r>
      <w:r>
        <w:rPr>
          <w:rStyle w:val="eop"/>
          <w:rFonts w:eastAsiaTheme="majorEastAsia"/>
        </w:rPr>
        <w:t> </w:t>
      </w:r>
    </w:p>
    <w:p w14:paraId="39102431"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B493A8D" w14:textId="77777777" w:rsidR="00250EAA" w:rsidRDefault="00250EAA" w:rsidP="00250EAA">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a. The Investigator should remain on scene to assist the funeral home if the family wishes or if the extraction will be difficult. </w:t>
      </w:r>
      <w:r>
        <w:rPr>
          <w:rStyle w:val="eop"/>
          <w:rFonts w:eastAsiaTheme="majorEastAsia"/>
        </w:rPr>
        <w:t> </w:t>
      </w:r>
    </w:p>
    <w:p w14:paraId="03580965" w14:textId="77777777" w:rsidR="00250EAA" w:rsidRDefault="00250EAA" w:rsidP="00250EAA">
      <w:pPr>
        <w:pStyle w:val="paragraph"/>
        <w:spacing w:before="0" w:beforeAutospacing="0" w:after="0" w:afterAutospacing="0"/>
        <w:ind w:right="900" w:firstLine="720"/>
        <w:textAlignment w:val="baseline"/>
        <w:rPr>
          <w:rFonts w:ascii="Segoe UI" w:hAnsi="Segoe UI" w:cs="Segoe UI"/>
          <w:sz w:val="18"/>
          <w:szCs w:val="18"/>
        </w:rPr>
      </w:pPr>
      <w:r>
        <w:rPr>
          <w:rStyle w:val="eop"/>
          <w:rFonts w:eastAsiaTheme="majorEastAsia"/>
        </w:rPr>
        <w:t> </w:t>
      </w:r>
    </w:p>
    <w:p w14:paraId="636D16D2" w14:textId="77777777" w:rsidR="00250EAA" w:rsidRDefault="00250EAA" w:rsidP="00250EAA">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b. The exception to this policy is if the Investigator has other pending calls and is the only one on shift. </w:t>
      </w:r>
      <w:r>
        <w:rPr>
          <w:rStyle w:val="eop"/>
          <w:rFonts w:eastAsiaTheme="majorEastAsia"/>
        </w:rPr>
        <w:t> </w:t>
      </w:r>
    </w:p>
    <w:p w14:paraId="6B1159CB" w14:textId="77777777" w:rsidR="00250EAA" w:rsidRDefault="00250EAA" w:rsidP="00250EAA">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3AEA2FB" w14:textId="77777777" w:rsidR="00250EAA" w:rsidRDefault="00250EAA" w:rsidP="00250EAA">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c. Upon returning to the Kootenai County Coroner’s Office the Investigator will fax all required information to the autopsy facility. </w:t>
      </w:r>
      <w:r>
        <w:rPr>
          <w:rStyle w:val="eop"/>
          <w:rFonts w:eastAsiaTheme="majorEastAsia"/>
        </w:rPr>
        <w:t> </w:t>
      </w:r>
    </w:p>
    <w:p w14:paraId="2DAF2FC2" w14:textId="77777777" w:rsidR="00250EAA" w:rsidRDefault="00250EAA" w:rsidP="00250EAA">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rPr>
        <w:t> </w:t>
      </w:r>
    </w:p>
    <w:p w14:paraId="6998FA97" w14:textId="77777777" w:rsidR="00E02C82" w:rsidRPr="000F49F0" w:rsidRDefault="00E02C82" w:rsidP="000F49F0">
      <w:pPr>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A0EA6"/>
    <w:multiLevelType w:val="multilevel"/>
    <w:tmpl w:val="2EF6F2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AE226C"/>
    <w:multiLevelType w:val="multilevel"/>
    <w:tmpl w:val="6960DF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4136B"/>
    <w:multiLevelType w:val="multilevel"/>
    <w:tmpl w:val="41828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2A14F78"/>
    <w:multiLevelType w:val="multilevel"/>
    <w:tmpl w:val="D5908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9D21F0"/>
    <w:multiLevelType w:val="multilevel"/>
    <w:tmpl w:val="64BE4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7FC54F0"/>
    <w:multiLevelType w:val="multilevel"/>
    <w:tmpl w:val="617C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AB536C4"/>
    <w:multiLevelType w:val="multilevel"/>
    <w:tmpl w:val="7DA24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EC13FF"/>
    <w:multiLevelType w:val="multilevel"/>
    <w:tmpl w:val="8A8469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B43C7A"/>
    <w:multiLevelType w:val="multilevel"/>
    <w:tmpl w:val="C2FE389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E328C9"/>
    <w:multiLevelType w:val="multilevel"/>
    <w:tmpl w:val="D55833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E164432"/>
    <w:multiLevelType w:val="multilevel"/>
    <w:tmpl w:val="D51C2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4490885"/>
    <w:multiLevelType w:val="multilevel"/>
    <w:tmpl w:val="0DFCFC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9B92615"/>
    <w:multiLevelType w:val="multilevel"/>
    <w:tmpl w:val="41A47DD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186A82"/>
    <w:multiLevelType w:val="multilevel"/>
    <w:tmpl w:val="72FCA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3A1EED"/>
    <w:multiLevelType w:val="multilevel"/>
    <w:tmpl w:val="4F72239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5020E1E"/>
    <w:multiLevelType w:val="multilevel"/>
    <w:tmpl w:val="A7A4B8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58842B5"/>
    <w:multiLevelType w:val="multilevel"/>
    <w:tmpl w:val="DB0CE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6137B32"/>
    <w:multiLevelType w:val="multilevel"/>
    <w:tmpl w:val="F4A62B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B85278"/>
    <w:multiLevelType w:val="multilevel"/>
    <w:tmpl w:val="30BE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6E03AD4"/>
    <w:multiLevelType w:val="multilevel"/>
    <w:tmpl w:val="198C81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A77795C"/>
    <w:multiLevelType w:val="multilevel"/>
    <w:tmpl w:val="040EC7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CF93DDD"/>
    <w:multiLevelType w:val="multilevel"/>
    <w:tmpl w:val="FA5A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DB71E44"/>
    <w:multiLevelType w:val="multilevel"/>
    <w:tmpl w:val="BE72A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F180FE4"/>
    <w:multiLevelType w:val="multilevel"/>
    <w:tmpl w:val="B152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65D651C"/>
    <w:multiLevelType w:val="multilevel"/>
    <w:tmpl w:val="7CF8A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BB321AE"/>
    <w:multiLevelType w:val="multilevel"/>
    <w:tmpl w:val="9F2CE9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CC2483B"/>
    <w:multiLevelType w:val="multilevel"/>
    <w:tmpl w:val="9BA8E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5B4023E"/>
    <w:multiLevelType w:val="multilevel"/>
    <w:tmpl w:val="46CECB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7E5070C"/>
    <w:multiLevelType w:val="multilevel"/>
    <w:tmpl w:val="FF3C3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97800B7"/>
    <w:multiLevelType w:val="multilevel"/>
    <w:tmpl w:val="16587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E853671"/>
    <w:multiLevelType w:val="multilevel"/>
    <w:tmpl w:val="9B0ED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F1D76E4"/>
    <w:multiLevelType w:val="multilevel"/>
    <w:tmpl w:val="BC3A9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956FEE"/>
    <w:multiLevelType w:val="multilevel"/>
    <w:tmpl w:val="8DE2A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1BD2DE8"/>
    <w:multiLevelType w:val="multilevel"/>
    <w:tmpl w:val="9A08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3107768"/>
    <w:multiLevelType w:val="multilevel"/>
    <w:tmpl w:val="6B38B92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3AD0C9E"/>
    <w:multiLevelType w:val="multilevel"/>
    <w:tmpl w:val="622833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8029DA"/>
    <w:multiLevelType w:val="multilevel"/>
    <w:tmpl w:val="80AE16C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A8755C0"/>
    <w:multiLevelType w:val="multilevel"/>
    <w:tmpl w:val="00D09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B013AFD"/>
    <w:multiLevelType w:val="multilevel"/>
    <w:tmpl w:val="5900B4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B314EFF"/>
    <w:multiLevelType w:val="multilevel"/>
    <w:tmpl w:val="C8EA3F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9923642">
    <w:abstractNumId w:val="37"/>
  </w:num>
  <w:num w:numId="2" w16cid:durableId="678429796">
    <w:abstractNumId w:val="3"/>
  </w:num>
  <w:num w:numId="3" w16cid:durableId="682517328">
    <w:abstractNumId w:val="6"/>
  </w:num>
  <w:num w:numId="4" w16cid:durableId="684015828">
    <w:abstractNumId w:val="30"/>
  </w:num>
  <w:num w:numId="5" w16cid:durableId="1540390523">
    <w:abstractNumId w:val="21"/>
  </w:num>
  <w:num w:numId="6" w16cid:durableId="1156993900">
    <w:abstractNumId w:val="22"/>
  </w:num>
  <w:num w:numId="7" w16cid:durableId="1554733059">
    <w:abstractNumId w:val="16"/>
  </w:num>
  <w:num w:numId="8" w16cid:durableId="1867983635">
    <w:abstractNumId w:val="26"/>
  </w:num>
  <w:num w:numId="9" w16cid:durableId="381710108">
    <w:abstractNumId w:val="4"/>
  </w:num>
  <w:num w:numId="10" w16cid:durableId="247151826">
    <w:abstractNumId w:val="33"/>
  </w:num>
  <w:num w:numId="11" w16cid:durableId="1803619471">
    <w:abstractNumId w:val="2"/>
  </w:num>
  <w:num w:numId="12" w16cid:durableId="1749188594">
    <w:abstractNumId w:val="32"/>
  </w:num>
  <w:num w:numId="13" w16cid:durableId="106389228">
    <w:abstractNumId w:val="10"/>
  </w:num>
  <w:num w:numId="14" w16cid:durableId="66272854">
    <w:abstractNumId w:val="23"/>
  </w:num>
  <w:num w:numId="15" w16cid:durableId="766733890">
    <w:abstractNumId w:val="18"/>
  </w:num>
  <w:num w:numId="16" w16cid:durableId="618101360">
    <w:abstractNumId w:val="5"/>
  </w:num>
  <w:num w:numId="17" w16cid:durableId="997001430">
    <w:abstractNumId w:val="13"/>
  </w:num>
  <w:num w:numId="18" w16cid:durableId="623852758">
    <w:abstractNumId w:val="9"/>
  </w:num>
  <w:num w:numId="19" w16cid:durableId="523592022">
    <w:abstractNumId w:val="17"/>
  </w:num>
  <w:num w:numId="20" w16cid:durableId="14354539">
    <w:abstractNumId w:val="27"/>
  </w:num>
  <w:num w:numId="21" w16cid:durableId="37052408">
    <w:abstractNumId w:val="39"/>
  </w:num>
  <w:num w:numId="22" w16cid:durableId="2042320585">
    <w:abstractNumId w:val="8"/>
  </w:num>
  <w:num w:numId="23" w16cid:durableId="677970751">
    <w:abstractNumId w:val="29"/>
  </w:num>
  <w:num w:numId="24" w16cid:durableId="1907032708">
    <w:abstractNumId w:val="7"/>
  </w:num>
  <w:num w:numId="25" w16cid:durableId="250814986">
    <w:abstractNumId w:val="35"/>
  </w:num>
  <w:num w:numId="26" w16cid:durableId="1655716389">
    <w:abstractNumId w:val="0"/>
  </w:num>
  <w:num w:numId="27" w16cid:durableId="320500920">
    <w:abstractNumId w:val="28"/>
  </w:num>
  <w:num w:numId="28" w16cid:durableId="372192358">
    <w:abstractNumId w:val="19"/>
  </w:num>
  <w:num w:numId="29" w16cid:durableId="940455594">
    <w:abstractNumId w:val="38"/>
  </w:num>
  <w:num w:numId="30" w16cid:durableId="911232194">
    <w:abstractNumId w:val="36"/>
  </w:num>
  <w:num w:numId="31" w16cid:durableId="1798136064">
    <w:abstractNumId w:val="24"/>
  </w:num>
  <w:num w:numId="32" w16cid:durableId="1140155091">
    <w:abstractNumId w:val="20"/>
  </w:num>
  <w:num w:numId="33" w16cid:durableId="1348018739">
    <w:abstractNumId w:val="14"/>
  </w:num>
  <w:num w:numId="34" w16cid:durableId="978456343">
    <w:abstractNumId w:val="34"/>
  </w:num>
  <w:num w:numId="35" w16cid:durableId="1019697720">
    <w:abstractNumId w:val="1"/>
  </w:num>
  <w:num w:numId="36" w16cid:durableId="1015620566">
    <w:abstractNumId w:val="31"/>
  </w:num>
  <w:num w:numId="37" w16cid:durableId="1655333783">
    <w:abstractNumId w:val="11"/>
  </w:num>
  <w:num w:numId="38" w16cid:durableId="1497722553">
    <w:abstractNumId w:val="15"/>
  </w:num>
  <w:num w:numId="39" w16cid:durableId="60324931">
    <w:abstractNumId w:val="25"/>
  </w:num>
  <w:num w:numId="40" w16cid:durableId="2115710318">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296F"/>
    <w:rsid w:val="000F49F0"/>
    <w:rsid w:val="000F62D5"/>
    <w:rsid w:val="000F6AF8"/>
    <w:rsid w:val="001156CD"/>
    <w:rsid w:val="001310DD"/>
    <w:rsid w:val="00144579"/>
    <w:rsid w:val="001474BA"/>
    <w:rsid w:val="001A7179"/>
    <w:rsid w:val="001B2414"/>
    <w:rsid w:val="001B24A4"/>
    <w:rsid w:val="00250EAA"/>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80F08"/>
    <w:rsid w:val="00B82BA9"/>
    <w:rsid w:val="00B8333C"/>
    <w:rsid w:val="00BB07D4"/>
    <w:rsid w:val="00C13DAD"/>
    <w:rsid w:val="00C72C0E"/>
    <w:rsid w:val="00C93482"/>
    <w:rsid w:val="00CA0E1F"/>
    <w:rsid w:val="00CC57B7"/>
    <w:rsid w:val="00CD0626"/>
    <w:rsid w:val="00D226CB"/>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AC13F7-C474-4589-AFB4-96E4BC4667F8}">
  <ds:schemaRefs>
    <ds:schemaRef ds:uri="8416942f-d982-4ba4-a5b0-104826b4be24"/>
    <ds:schemaRef ds:uri="8ef27eb8-0e3d-496f-b523-771757bdd770"/>
    <ds:schemaRef ds:uri="http://www.w3.org/XML/1998/namespace"/>
    <ds:schemaRef ds:uri="http://schemas.microsoft.com/office/infopath/2007/PartnerControls"/>
    <ds:schemaRef ds:uri="http://schemas.microsoft.com/office/2006/metadata/properties"/>
    <ds:schemaRef ds:uri="http://purl.org/dc/dcmitype/"/>
    <ds:schemaRef ds:uri="http://schemas.microsoft.com/office/2006/documentManagement/types"/>
    <ds:schemaRef ds:uri="http://schemas.openxmlformats.org/package/2006/metadata/core-properties"/>
    <ds:schemaRef ds:uri="http://purl.org/dc/terms/"/>
    <ds:schemaRef ds:uri="http://purl.org/dc/elements/1.1/"/>
  </ds:schemaRefs>
</ds:datastoreItem>
</file>

<file path=customXml/itemProps2.xml><?xml version="1.0" encoding="utf-8"?>
<ds:datastoreItem xmlns:ds="http://schemas.openxmlformats.org/officeDocument/2006/customXml" ds:itemID="{BD7F5DF6-118E-44FA-8B6C-59825152E0C9}">
  <ds:schemaRefs>
    <ds:schemaRef ds:uri="http://schemas.microsoft.com/sharepoint/v3/contenttype/forms"/>
  </ds:schemaRefs>
</ds:datastoreItem>
</file>

<file path=customXml/itemProps3.xml><?xml version="1.0" encoding="utf-8"?>
<ds:datastoreItem xmlns:ds="http://schemas.openxmlformats.org/officeDocument/2006/customXml" ds:itemID="{FEC4A781-FF22-4F90-90B1-612BDCDEEE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275</Words>
  <Characters>1573</Characters>
  <Application>Microsoft Office Word</Application>
  <DocSecurity>0</DocSecurity>
  <Lines>13</Lines>
  <Paragraphs>3</Paragraphs>
  <ScaleCrop>false</ScaleCrop>
  <Company/>
  <LinksUpToDate>false</LinksUpToDate>
  <CharactersWithSpaces>1845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2025-07-16T18:33:00Z</dcterms:created>
  <dcterms:modified xsi:type="dcterms:W3CDTF">2025-07-16T18:33:00Z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