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06E30" w14:textId="5B0792EF" w:rsidR="00C4504C" w:rsidRDefault="00C4504C" w:rsidP="14DEB6C4">
      <w:pPr>
        <w:shd w:val="clear" w:color="auto" w:fill="FFFFFF" w:themeFill="background1"/>
        <w:spacing w:beforeAutospacing="1" w:afterAutospacing="1" w:line="276" w:lineRule="auto"/>
        <w:rPr>
          <w:rFonts w:ascii="Calibri" w:eastAsia="Calibri" w:hAnsi="Calibri" w:cs="Calibri"/>
          <w:color w:val="000000" w:themeColor="text1"/>
        </w:rPr>
      </w:pPr>
    </w:p>
    <w:p w14:paraId="3333EC76" w14:textId="5814A2C8" w:rsidR="00C4504C" w:rsidRDefault="370F75EE" w:rsidP="14DEB6C4">
      <w:pPr>
        <w:widowControl w:val="0"/>
        <w:spacing w:before="61" w:after="0" w:line="276" w:lineRule="auto"/>
        <w:jc w:val="center"/>
        <w:rPr>
          <w:rFonts w:ascii="Calibri" w:eastAsia="Calibri" w:hAnsi="Calibri" w:cs="Calibri"/>
          <w:color w:val="FFFFFF" w:themeColor="background1"/>
          <w:sz w:val="28"/>
          <w:szCs w:val="28"/>
        </w:rPr>
      </w:pPr>
      <w:r w:rsidRPr="14DEB6C4">
        <w:rPr>
          <w:rFonts w:ascii="Calibri" w:eastAsia="Calibri" w:hAnsi="Calibri" w:cs="Calibri"/>
          <w:b/>
          <w:bCs/>
          <w:color w:val="000000" w:themeColor="text1"/>
          <w:sz w:val="28"/>
          <w:szCs w:val="28"/>
          <w:u w:val="single"/>
        </w:rPr>
        <w:t>SECTION 10: UNCLAIMED OR INDIGENT REMAINS</w:t>
      </w:r>
      <w:r w:rsidRPr="14DEB6C4">
        <w:rPr>
          <w:rFonts w:ascii="Calibri" w:eastAsia="Calibri" w:hAnsi="Calibri" w:cs="Calibri"/>
          <w:b/>
          <w:bCs/>
          <w:color w:val="FFFFFF" w:themeColor="background1"/>
          <w:sz w:val="28"/>
          <w:szCs w:val="28"/>
        </w:rPr>
        <w:t xml:space="preserve"> </w:t>
      </w:r>
    </w:p>
    <w:p w14:paraId="5C35A8D3" w14:textId="6ADAFDE4" w:rsidR="00C4504C" w:rsidRDefault="00C4504C" w:rsidP="14DEB6C4">
      <w:pPr>
        <w:widowControl w:val="0"/>
        <w:spacing w:after="0" w:line="276" w:lineRule="auto"/>
        <w:rPr>
          <w:rFonts w:ascii="Calibri" w:eastAsia="Calibri" w:hAnsi="Calibri" w:cs="Calibri"/>
          <w:color w:val="000000" w:themeColor="text1"/>
        </w:rPr>
      </w:pPr>
    </w:p>
    <w:p w14:paraId="714B51CB" w14:textId="6991F60A" w:rsidR="00C4504C" w:rsidRDefault="370F75EE" w:rsidP="14DEB6C4">
      <w:pPr>
        <w:widowControl w:val="0"/>
        <w:tabs>
          <w:tab w:val="left" w:pos="460"/>
        </w:tabs>
        <w:spacing w:before="11" w:after="0" w:line="276" w:lineRule="auto"/>
        <w:ind w:right="3350"/>
        <w:rPr>
          <w:rFonts w:ascii="Calibri" w:eastAsia="Calibri" w:hAnsi="Calibri" w:cs="Calibri"/>
          <w:color w:val="000000" w:themeColor="text1"/>
        </w:rPr>
      </w:pPr>
      <w:r w:rsidRPr="14DEB6C4">
        <w:rPr>
          <w:rFonts w:ascii="Calibri" w:eastAsia="Calibri" w:hAnsi="Calibri" w:cs="Calibri"/>
          <w:b/>
          <w:bCs/>
          <w:color w:val="000000" w:themeColor="text1"/>
        </w:rPr>
        <w:t>INTRODUCTION</w:t>
      </w:r>
    </w:p>
    <w:p w14:paraId="1C5351D9" w14:textId="61B3E58F" w:rsidR="00C4504C" w:rsidRDefault="370F75EE" w:rsidP="14DEB6C4">
      <w:pPr>
        <w:pStyle w:val="Heading1"/>
        <w:shd w:val="clear" w:color="auto" w:fill="FFFFFF" w:themeFill="background1"/>
        <w:spacing w:before="48" w:after="0" w:line="276" w:lineRule="auto"/>
        <w:rPr>
          <w:rFonts w:ascii="Calibri" w:eastAsia="Calibri" w:hAnsi="Calibri" w:cs="Calibri"/>
          <w:b/>
          <w:bCs/>
          <w:color w:val="000000" w:themeColor="text1"/>
          <w:sz w:val="24"/>
          <w:szCs w:val="24"/>
        </w:rPr>
      </w:pPr>
      <w:r w:rsidRPr="14DEB6C4">
        <w:rPr>
          <w:rFonts w:ascii="Calibri" w:eastAsia="Calibri" w:hAnsi="Calibri" w:cs="Calibri"/>
          <w:b/>
          <w:bCs/>
          <w:color w:val="000000" w:themeColor="text1"/>
          <w:sz w:val="24"/>
          <w:szCs w:val="24"/>
        </w:rPr>
        <w:t>9.15 Burial or cremation of body at expense of township or municipal corporation.</w:t>
      </w:r>
    </w:p>
    <w:p w14:paraId="5B01252F" w14:textId="3ECB4955" w:rsidR="00C4504C" w:rsidRDefault="370F75EE" w:rsidP="14DEB6C4">
      <w:pPr>
        <w:shd w:val="clear" w:color="auto" w:fill="FFFFFF" w:themeFill="background1"/>
        <w:spacing w:beforeAutospacing="1" w:afterAutospacing="1" w:line="276" w:lineRule="auto"/>
        <w:rPr>
          <w:rFonts w:ascii="Calibri" w:eastAsia="Calibri" w:hAnsi="Calibri" w:cs="Calibri"/>
          <w:color w:val="000000" w:themeColor="text1"/>
        </w:rPr>
      </w:pPr>
      <w:r w:rsidRPr="14DEB6C4">
        <w:rPr>
          <w:rFonts w:ascii="Calibri" w:eastAsia="Calibri" w:hAnsi="Calibri" w:cs="Calibri"/>
          <w:color w:val="000000" w:themeColor="text1"/>
        </w:rPr>
        <w:t>When the body of a dead person is found in a township or municipal corporation, and such person was not an inmate of a correctional, benevolent, or charitable institution of this state, and the body is not claimed by any person for private interment or cremation at the person’s own expense, or delivered for the purpose of medical or surgical study or dissection in accordance with section</w:t>
      </w:r>
      <w:r w:rsidRPr="14DEB6C4">
        <w:rPr>
          <w:rStyle w:val="apple-converted-space"/>
          <w:rFonts w:ascii="Calibri" w:eastAsia="Calibri" w:hAnsi="Calibri" w:cs="Calibri"/>
          <w:color w:val="000000" w:themeColor="text1"/>
        </w:rPr>
        <w:t> </w:t>
      </w:r>
      <w:hyperlink r:id="rId8">
        <w:r w:rsidRPr="14DEB6C4">
          <w:rPr>
            <w:rStyle w:val="Hyperlink"/>
            <w:rFonts w:ascii="Calibri" w:eastAsia="Calibri" w:hAnsi="Calibri" w:cs="Calibri"/>
          </w:rPr>
          <w:t>1713.34</w:t>
        </w:r>
      </w:hyperlink>
      <w:r w:rsidRPr="14DEB6C4">
        <w:rPr>
          <w:rStyle w:val="apple-converted-space"/>
          <w:rFonts w:ascii="Calibri" w:eastAsia="Calibri" w:hAnsi="Calibri" w:cs="Calibri"/>
          <w:color w:val="000000" w:themeColor="text1"/>
        </w:rPr>
        <w:t> </w:t>
      </w:r>
      <w:r w:rsidRPr="14DEB6C4">
        <w:rPr>
          <w:rFonts w:ascii="Calibri" w:eastAsia="Calibri" w:hAnsi="Calibri" w:cs="Calibri"/>
          <w:color w:val="000000" w:themeColor="text1"/>
        </w:rPr>
        <w:t>of the Revised Code, it shall be disposed of as follows:</w:t>
      </w:r>
    </w:p>
    <w:p w14:paraId="48A6CCAB" w14:textId="52EF7E3D" w:rsidR="00C4504C" w:rsidRDefault="00C4504C" w:rsidP="14DEB6C4">
      <w:pPr>
        <w:widowControl w:val="0"/>
        <w:spacing w:after="0" w:line="276" w:lineRule="auto"/>
        <w:ind w:left="100"/>
        <w:rPr>
          <w:rFonts w:ascii="Calibri" w:eastAsia="Calibri" w:hAnsi="Calibri" w:cs="Calibri"/>
          <w:color w:val="000000" w:themeColor="text1"/>
        </w:rPr>
      </w:pPr>
    </w:p>
    <w:p w14:paraId="46EFFC79" w14:textId="6401DAFF" w:rsidR="00C4504C" w:rsidRDefault="370F75EE" w:rsidP="14DEB6C4">
      <w:pPr>
        <w:widowControl w:val="0"/>
        <w:spacing w:after="0" w:line="276" w:lineRule="auto"/>
        <w:rPr>
          <w:rFonts w:ascii="Calibri" w:eastAsia="Calibri" w:hAnsi="Calibri" w:cs="Calibri"/>
          <w:color w:val="000000" w:themeColor="text1"/>
        </w:rPr>
      </w:pPr>
      <w:r w:rsidRPr="14DEB6C4">
        <w:rPr>
          <w:rFonts w:ascii="Calibri" w:eastAsia="Calibri" w:hAnsi="Calibri" w:cs="Calibri"/>
          <w:b/>
          <w:bCs/>
          <w:color w:val="000000" w:themeColor="text1"/>
        </w:rPr>
        <w:t>GENERAL PROCEDURE FOR INDIGENT CREMATIONS</w:t>
      </w:r>
    </w:p>
    <w:p w14:paraId="7D76024B" w14:textId="418BEA61" w:rsidR="00C4504C" w:rsidRDefault="370F75EE" w:rsidP="14DEB6C4">
      <w:pPr>
        <w:pStyle w:val="ListParagraph"/>
        <w:numPr>
          <w:ilvl w:val="0"/>
          <w:numId w:val="1"/>
        </w:numPr>
        <w:shd w:val="clear" w:color="auto" w:fill="FFFFFF" w:themeFill="background1"/>
        <w:spacing w:beforeAutospacing="1" w:afterAutospacing="1" w:line="276" w:lineRule="auto"/>
        <w:rPr>
          <w:rFonts w:ascii="Calibri" w:eastAsia="Calibri" w:hAnsi="Calibri" w:cs="Calibri"/>
          <w:color w:val="000000" w:themeColor="text1"/>
        </w:rPr>
      </w:pPr>
      <w:r w:rsidRPr="14DEB6C4">
        <w:rPr>
          <w:rFonts w:ascii="Calibri" w:eastAsia="Calibri" w:hAnsi="Calibri" w:cs="Calibri"/>
          <w:color w:val="000000" w:themeColor="text1"/>
        </w:rPr>
        <w:t>If the person was a legal resident of the county, the proper officers of the township or Municipal Corporation in which the person’s body was found shall cause it to be buried or cremated at the expense of the township or Municipal Corporation in which the person had a legal residence at the time of death.</w:t>
      </w:r>
    </w:p>
    <w:p w14:paraId="1BD405B4" w14:textId="044C93AF" w:rsidR="00C4504C" w:rsidRDefault="370F75EE" w:rsidP="14DEB6C4">
      <w:pPr>
        <w:pStyle w:val="ListParagraph"/>
        <w:numPr>
          <w:ilvl w:val="0"/>
          <w:numId w:val="1"/>
        </w:numPr>
        <w:shd w:val="clear" w:color="auto" w:fill="FFFFFF" w:themeFill="background1"/>
        <w:spacing w:beforeAutospacing="1" w:afterAutospacing="1" w:line="276" w:lineRule="auto"/>
        <w:rPr>
          <w:rFonts w:ascii="Calibri" w:eastAsia="Calibri" w:hAnsi="Calibri" w:cs="Calibri"/>
          <w:color w:val="000000" w:themeColor="text1"/>
        </w:rPr>
      </w:pPr>
      <w:r w:rsidRPr="14DEB6C4">
        <w:rPr>
          <w:rFonts w:ascii="Calibri" w:eastAsia="Calibri" w:hAnsi="Calibri" w:cs="Calibri"/>
          <w:color w:val="000000" w:themeColor="text1"/>
        </w:rPr>
        <w:t>If the person had a legal residence in any other county of the state at the time of death, the superintendent of the county home of the county in which such body was found shall cause it to be buried or cremated at the expense of the township or municipal corporation in which the person had a legal residence at the time of death.</w:t>
      </w:r>
    </w:p>
    <w:p w14:paraId="65D74786" w14:textId="210B1875" w:rsidR="00C4504C" w:rsidRDefault="370F75EE" w:rsidP="14DEB6C4">
      <w:pPr>
        <w:pStyle w:val="ListParagraph"/>
        <w:numPr>
          <w:ilvl w:val="0"/>
          <w:numId w:val="1"/>
        </w:numPr>
        <w:shd w:val="clear" w:color="auto" w:fill="FFFFFF" w:themeFill="background1"/>
        <w:spacing w:beforeAutospacing="1" w:afterAutospacing="1" w:line="276" w:lineRule="auto"/>
        <w:rPr>
          <w:rFonts w:ascii="Calibri" w:eastAsia="Calibri" w:hAnsi="Calibri" w:cs="Calibri"/>
          <w:color w:val="000000" w:themeColor="text1"/>
        </w:rPr>
      </w:pPr>
      <w:r w:rsidRPr="14DEB6C4">
        <w:rPr>
          <w:rFonts w:ascii="Calibri" w:eastAsia="Calibri" w:hAnsi="Calibri" w:cs="Calibri"/>
          <w:color w:val="000000" w:themeColor="text1"/>
        </w:rPr>
        <w:t xml:space="preserve">If the person was an inmate of a correctional institution of the county or a patient or resident of a benevolent institution of the county, the person had no legal residence in the state, or the person’s legal residence is unknown, the superintendent shall cause the person to be buried or cremated at the expense of the county. </w:t>
      </w:r>
    </w:p>
    <w:p w14:paraId="05D1E23C" w14:textId="23CA51B6" w:rsidR="00C4504C" w:rsidRDefault="370F75EE" w:rsidP="14DEB6C4">
      <w:pPr>
        <w:shd w:val="clear" w:color="auto" w:fill="FFFFFF" w:themeFill="background1"/>
        <w:spacing w:beforeAutospacing="1" w:afterAutospacing="1" w:line="276" w:lineRule="auto"/>
        <w:ind w:left="360"/>
        <w:rPr>
          <w:rFonts w:ascii="Calibri" w:eastAsia="Calibri" w:hAnsi="Calibri" w:cs="Calibri"/>
          <w:color w:val="000000" w:themeColor="text1"/>
        </w:rPr>
      </w:pPr>
      <w:r w:rsidRPr="14DEB6C4">
        <w:rPr>
          <w:rFonts w:ascii="Calibri" w:eastAsia="Calibri" w:hAnsi="Calibri" w:cs="Calibri"/>
          <w:color w:val="000000" w:themeColor="text1"/>
        </w:rPr>
        <w:t>Such officials shall provide, at the grave of the person or, if the person’s cremated remains are buried, at the grave of the person’s cremated remains, a stone or concrete marker on which the person’s name and age, if known, and date of death shall be inscribed.</w:t>
      </w:r>
    </w:p>
    <w:p w14:paraId="36751596" w14:textId="524B454B" w:rsidR="00C4504C" w:rsidRDefault="370F75EE" w:rsidP="14DEB6C4">
      <w:pPr>
        <w:shd w:val="clear" w:color="auto" w:fill="FFFFFF" w:themeFill="background1"/>
        <w:spacing w:beforeAutospacing="1" w:afterAutospacing="1" w:line="276" w:lineRule="auto"/>
        <w:ind w:left="360"/>
        <w:rPr>
          <w:rFonts w:ascii="Calibri" w:eastAsia="Calibri" w:hAnsi="Calibri" w:cs="Calibri"/>
          <w:color w:val="000000" w:themeColor="text1"/>
        </w:rPr>
      </w:pPr>
      <w:r w:rsidRPr="14DEB6C4">
        <w:rPr>
          <w:rFonts w:ascii="Calibri" w:eastAsia="Calibri" w:hAnsi="Calibri" w:cs="Calibri"/>
          <w:color w:val="000000" w:themeColor="text1"/>
        </w:rPr>
        <w:t>A political subdivision is not relieved of its duty to bury or cremate a person at its expense under this section when the body is claimed by an indigent person.</w:t>
      </w:r>
    </w:p>
    <w:p w14:paraId="2C078E63" w14:textId="5FE5F8FA" w:rsidR="00C4504C" w:rsidRDefault="00C4504C"/>
    <w:sectPr w:rsidR="00C450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8BD863"/>
    <w:multiLevelType w:val="hybridMultilevel"/>
    <w:tmpl w:val="3612E030"/>
    <w:lvl w:ilvl="0" w:tplc="35624FA2">
      <w:start w:val="1"/>
      <w:numFmt w:val="upperLetter"/>
      <w:lvlText w:val="%1."/>
      <w:lvlJc w:val="left"/>
      <w:pPr>
        <w:ind w:left="720" w:hanging="360"/>
      </w:pPr>
      <w:rPr>
        <w:rFonts w:ascii="Calibri" w:hAnsi="Calibri" w:hint="default"/>
      </w:rPr>
    </w:lvl>
    <w:lvl w:ilvl="1" w:tplc="5BE83A10">
      <w:start w:val="1"/>
      <w:numFmt w:val="lowerLetter"/>
      <w:lvlText w:val="%2."/>
      <w:lvlJc w:val="left"/>
      <w:pPr>
        <w:ind w:left="1440" w:hanging="360"/>
      </w:pPr>
    </w:lvl>
    <w:lvl w:ilvl="2" w:tplc="09729A40">
      <w:start w:val="1"/>
      <w:numFmt w:val="lowerRoman"/>
      <w:lvlText w:val="%3."/>
      <w:lvlJc w:val="right"/>
      <w:pPr>
        <w:ind w:left="2160" w:hanging="180"/>
      </w:pPr>
    </w:lvl>
    <w:lvl w:ilvl="3" w:tplc="330476D4">
      <w:start w:val="1"/>
      <w:numFmt w:val="decimal"/>
      <w:lvlText w:val="%4."/>
      <w:lvlJc w:val="left"/>
      <w:pPr>
        <w:ind w:left="2880" w:hanging="360"/>
      </w:pPr>
    </w:lvl>
    <w:lvl w:ilvl="4" w:tplc="316E9546">
      <w:start w:val="1"/>
      <w:numFmt w:val="lowerLetter"/>
      <w:lvlText w:val="%5."/>
      <w:lvlJc w:val="left"/>
      <w:pPr>
        <w:ind w:left="3600" w:hanging="360"/>
      </w:pPr>
    </w:lvl>
    <w:lvl w:ilvl="5" w:tplc="14C072C0">
      <w:start w:val="1"/>
      <w:numFmt w:val="lowerRoman"/>
      <w:lvlText w:val="%6."/>
      <w:lvlJc w:val="right"/>
      <w:pPr>
        <w:ind w:left="4320" w:hanging="180"/>
      </w:pPr>
    </w:lvl>
    <w:lvl w:ilvl="6" w:tplc="ABC2D554">
      <w:start w:val="1"/>
      <w:numFmt w:val="decimal"/>
      <w:lvlText w:val="%7."/>
      <w:lvlJc w:val="left"/>
      <w:pPr>
        <w:ind w:left="5040" w:hanging="360"/>
      </w:pPr>
    </w:lvl>
    <w:lvl w:ilvl="7" w:tplc="B8AEA3E6">
      <w:start w:val="1"/>
      <w:numFmt w:val="lowerLetter"/>
      <w:lvlText w:val="%8."/>
      <w:lvlJc w:val="left"/>
      <w:pPr>
        <w:ind w:left="5760" w:hanging="360"/>
      </w:pPr>
    </w:lvl>
    <w:lvl w:ilvl="8" w:tplc="5E24F09A">
      <w:start w:val="1"/>
      <w:numFmt w:val="lowerRoman"/>
      <w:lvlText w:val="%9."/>
      <w:lvlJc w:val="right"/>
      <w:pPr>
        <w:ind w:left="6480" w:hanging="180"/>
      </w:pPr>
    </w:lvl>
  </w:abstractNum>
  <w:num w:numId="1" w16cid:durableId="1828133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0A7974D"/>
    <w:rsid w:val="00030CF0"/>
    <w:rsid w:val="002777C5"/>
    <w:rsid w:val="00C4504C"/>
    <w:rsid w:val="14DEB6C4"/>
    <w:rsid w:val="370F75EE"/>
    <w:rsid w:val="60A79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7974D"/>
  <w15:chartTrackingRefBased/>
  <w15:docId w15:val="{00361F15-8A18-4EAC-B883-1CF338530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apple-converted-space">
    <w:name w:val="apple-converted-space"/>
    <w:basedOn w:val="DefaultParagraphFont"/>
    <w:uiPriority w:val="1"/>
    <w:rsid w:val="14DEB6C4"/>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14DEB6C4"/>
    <w:rPr>
      <w:color w:val="467886"/>
      <w:u w:val="single"/>
    </w:rPr>
  </w:style>
  <w:style w:type="paragraph" w:styleId="ListParagraph">
    <w:name w:val="List Paragraph"/>
    <w:basedOn w:val="Normal"/>
    <w:uiPriority w:val="34"/>
    <w:qFormat/>
    <w:rsid w:val="14DEB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des.ohio.gov/orc/1713.3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2170401C-1172-4F39-BE12-D8B29F28B804}">
  <ds:schemaRefs>
    <ds:schemaRef ds:uri="http://schemas.microsoft.com/sharepoint/v3/contenttype/forms"/>
  </ds:schemaRefs>
</ds:datastoreItem>
</file>

<file path=customXml/itemProps2.xml><?xml version="1.0" encoding="utf-8"?>
<ds:datastoreItem xmlns:ds="http://schemas.openxmlformats.org/officeDocument/2006/customXml" ds:itemID="{22201162-02E8-41FE-85F6-903CE9F88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39047A-6677-4BFA-9A5E-F28BF41CBE25}">
  <ds:schemaRefs>
    <ds:schemaRef ds:uri="8ef27eb8-0e3d-496f-b523-771757bdd770"/>
    <ds:schemaRef ds:uri="http://purl.org/dc/terms/"/>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8416942f-d982-4ba4-a5b0-104826b4be2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2025-07-16T18:15:00Z</dcterms:created>
  <dcterms:modified xsi:type="dcterms:W3CDTF">2025-07-16T18:15:00Z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