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0"/>
      </w:tblGrid>
      <w:tr w:rsidR="005468B3" w:rsidRPr="00D55731" w14:paraId="5751B305" w14:textId="77777777" w:rsidTr="00446E85">
        <w:tc>
          <w:tcPr>
            <w:tcW w:w="8856" w:type="dxa"/>
            <w:shd w:val="clear" w:color="auto" w:fill="auto"/>
          </w:tcPr>
          <w:p w14:paraId="0B94F961" w14:textId="77777777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</w:p>
          <w:p w14:paraId="6D2FB59C" w14:textId="682B4DEF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>Charleston County Coroner’s Office</w:t>
            </w:r>
            <w:r w:rsidR="006017E3">
              <w:rPr>
                <w:b/>
                <w:sz w:val="28"/>
                <w:szCs w:val="28"/>
              </w:rPr>
              <w:t xml:space="preserve"> Policy #55</w:t>
            </w:r>
          </w:p>
          <w:p w14:paraId="5A57046D" w14:textId="77777777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68B3" w:rsidRPr="00D55731" w14:paraId="4B6EA9C2" w14:textId="77777777" w:rsidTr="00446E85">
        <w:tc>
          <w:tcPr>
            <w:tcW w:w="8856" w:type="dxa"/>
            <w:shd w:val="clear" w:color="auto" w:fill="auto"/>
          </w:tcPr>
          <w:p w14:paraId="744DB675" w14:textId="77777777" w:rsidR="005468B3" w:rsidRPr="00D55731" w:rsidRDefault="005468B3" w:rsidP="00446E85">
            <w:pPr>
              <w:rPr>
                <w:b/>
                <w:sz w:val="28"/>
                <w:szCs w:val="28"/>
              </w:rPr>
            </w:pPr>
          </w:p>
          <w:p w14:paraId="18A2950A" w14:textId="77777777" w:rsidR="005468B3" w:rsidRDefault="005468B3" w:rsidP="006017E3">
            <w:pPr>
              <w:rPr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 xml:space="preserve">Title: </w:t>
            </w:r>
            <w:r w:rsidR="006017E3" w:rsidRPr="006017E3">
              <w:rPr>
                <w:bCs/>
                <w:sz w:val="28"/>
                <w:szCs w:val="28"/>
              </w:rPr>
              <w:t>Rapid DNA Machine</w:t>
            </w:r>
            <w:r w:rsidR="006017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6017E3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 w:rsidRPr="00D55731">
              <w:rPr>
                <w:b/>
                <w:sz w:val="28"/>
                <w:szCs w:val="28"/>
              </w:rPr>
              <w:t xml:space="preserve">Page: </w:t>
            </w:r>
            <w:r w:rsidRPr="00D55731">
              <w:rPr>
                <w:sz w:val="28"/>
                <w:szCs w:val="28"/>
              </w:rPr>
              <w:t xml:space="preserve">1 of </w:t>
            </w:r>
          </w:p>
          <w:p w14:paraId="75C61709" w14:textId="78F57D7B" w:rsidR="006017E3" w:rsidRPr="00D55731" w:rsidRDefault="006017E3" w:rsidP="006017E3">
            <w:pPr>
              <w:rPr>
                <w:b/>
                <w:sz w:val="28"/>
                <w:szCs w:val="28"/>
              </w:rPr>
            </w:pPr>
          </w:p>
        </w:tc>
      </w:tr>
      <w:tr w:rsidR="005468B3" w:rsidRPr="00D55731" w14:paraId="606F7D1E" w14:textId="77777777" w:rsidTr="00446E85">
        <w:tc>
          <w:tcPr>
            <w:tcW w:w="8856" w:type="dxa"/>
            <w:shd w:val="clear" w:color="auto" w:fill="auto"/>
          </w:tcPr>
          <w:p w14:paraId="6F734A1F" w14:textId="1FC2EEFB" w:rsidR="005468B3" w:rsidRPr="00D55731" w:rsidRDefault="005468B3" w:rsidP="00446E85">
            <w:pPr>
              <w:spacing w:line="360" w:lineRule="auto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 xml:space="preserve">Effective Date: </w:t>
            </w:r>
            <w:r w:rsidR="006017E3" w:rsidRPr="006017E3">
              <w:rPr>
                <w:bCs/>
                <w:sz w:val="28"/>
                <w:szCs w:val="28"/>
              </w:rPr>
              <w:t>3/1/2024</w:t>
            </w:r>
            <w:r w:rsidRPr="00D55731">
              <w:rPr>
                <w:b/>
                <w:sz w:val="28"/>
                <w:szCs w:val="28"/>
              </w:rPr>
              <w:t xml:space="preserve"> </w:t>
            </w:r>
          </w:p>
          <w:p w14:paraId="34EF6E84" w14:textId="2C9FD09E" w:rsidR="005468B3" w:rsidRPr="00D55731" w:rsidRDefault="005468B3" w:rsidP="00446E85">
            <w:pPr>
              <w:spacing w:line="360" w:lineRule="auto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 xml:space="preserve">Authorized By: </w:t>
            </w:r>
            <w:r w:rsidR="006017E3" w:rsidRPr="006017E3">
              <w:rPr>
                <w:bCs/>
                <w:sz w:val="28"/>
                <w:szCs w:val="28"/>
              </w:rPr>
              <w:t>Bobbi Jo O’Neal, Coroner</w:t>
            </w:r>
          </w:p>
        </w:tc>
      </w:tr>
    </w:tbl>
    <w:p w14:paraId="301FC676" w14:textId="77777777" w:rsidR="005468B3" w:rsidRDefault="005468B3" w:rsidP="005468B3"/>
    <w:p w14:paraId="4E0D592F" w14:textId="1E803C0C" w:rsidR="005468B3" w:rsidRPr="006017E3" w:rsidRDefault="006017E3" w:rsidP="005468B3">
      <w:pPr>
        <w:spacing w:line="360" w:lineRule="auto"/>
        <w:rPr>
          <w:bCs/>
        </w:rPr>
      </w:pPr>
      <w:r w:rsidRPr="006017E3">
        <w:rPr>
          <w:bCs/>
        </w:rPr>
        <w:t xml:space="preserve">55.1 </w:t>
      </w:r>
      <w:r w:rsidRPr="006017E3">
        <w:rPr>
          <w:bCs/>
          <w:u w:val="single"/>
        </w:rPr>
        <w:t>POLICY</w:t>
      </w:r>
    </w:p>
    <w:p w14:paraId="5A3E8C29" w14:textId="437DCA65" w:rsidR="007B531A" w:rsidRDefault="00DE0AC8" w:rsidP="007B531A">
      <w:pPr>
        <w:pStyle w:val="ListParagraph"/>
        <w:numPr>
          <w:ilvl w:val="0"/>
          <w:numId w:val="13"/>
        </w:numPr>
        <w:spacing w:line="360" w:lineRule="auto"/>
        <w:ind w:left="360"/>
      </w:pPr>
      <w:r>
        <w:t xml:space="preserve">The Coroner’s Office possesses an ANDE Rapid DNA </w:t>
      </w:r>
      <w:r w:rsidR="00FF4CF9">
        <w:t>Instrument</w:t>
      </w:r>
      <w:r>
        <w:t xml:space="preserve"> </w:t>
      </w:r>
      <w:r w:rsidR="00FF4CF9">
        <w:t>System (</w:t>
      </w:r>
      <w:r w:rsidR="00FC7AD6">
        <w:t xml:space="preserve">Rapid </w:t>
      </w:r>
      <w:r w:rsidR="00FF4CF9">
        <w:t xml:space="preserve">DNA Unit) </w:t>
      </w:r>
      <w:r>
        <w:t xml:space="preserve">which will only be operated by trained staff members at the discretion of the Chief Deputy or the Coroner to facilitate </w:t>
      </w:r>
      <w:r w:rsidR="001411E9">
        <w:t>scientific</w:t>
      </w:r>
      <w:r>
        <w:t xml:space="preserve">ally </w:t>
      </w:r>
      <w:r w:rsidR="001411E9">
        <w:t xml:space="preserve">accurate </w:t>
      </w:r>
      <w:r w:rsidR="001411E9" w:rsidRPr="001411E9">
        <w:t>identi</w:t>
      </w:r>
      <w:r>
        <w:t xml:space="preserve">ty of </w:t>
      </w:r>
      <w:r w:rsidR="001411E9" w:rsidRPr="001411E9">
        <w:t>decedents</w:t>
      </w:r>
      <w:r w:rsidR="009F1236">
        <w:t xml:space="preserve"> or </w:t>
      </w:r>
      <w:r w:rsidR="009F1236" w:rsidRPr="009F1236">
        <w:t>a viable investigative lead</w:t>
      </w:r>
      <w:r w:rsidR="009F1236">
        <w:t xml:space="preserve"> for a case involving a death</w:t>
      </w:r>
      <w:r w:rsidR="007B531A">
        <w:t xml:space="preserve"> </w:t>
      </w:r>
      <w:r w:rsidR="007B531A" w:rsidRPr="007B531A">
        <w:t xml:space="preserve">and not for the purpose of providing admissible evidence in a criminal proceeding.  </w:t>
      </w:r>
    </w:p>
    <w:p w14:paraId="5E9077A7" w14:textId="77777777" w:rsidR="007B531A" w:rsidRDefault="007B531A" w:rsidP="005468B3">
      <w:pPr>
        <w:spacing w:line="360" w:lineRule="auto"/>
      </w:pPr>
    </w:p>
    <w:p w14:paraId="37CA94E5" w14:textId="517C9CAE" w:rsidR="00ED352B" w:rsidRDefault="001E21B3" w:rsidP="007B531A">
      <w:pPr>
        <w:pStyle w:val="ListParagraph"/>
        <w:numPr>
          <w:ilvl w:val="0"/>
          <w:numId w:val="13"/>
        </w:numPr>
        <w:spacing w:line="360" w:lineRule="auto"/>
        <w:ind w:left="360"/>
      </w:pPr>
      <w:r>
        <w:t xml:space="preserve">The </w:t>
      </w:r>
      <w:r w:rsidR="007B531A">
        <w:t>S</w:t>
      </w:r>
      <w:r>
        <w:t xml:space="preserve">upervisor of </w:t>
      </w:r>
      <w:r w:rsidR="007B531A">
        <w:t>F</w:t>
      </w:r>
      <w:r>
        <w:t xml:space="preserve">orensic </w:t>
      </w:r>
      <w:r w:rsidR="007B531A">
        <w:t>S</w:t>
      </w:r>
      <w:r>
        <w:t xml:space="preserve">ervices will be the primary contact person and shall oversee the use, care, and maintenance of the unit in accordance with this policy. </w:t>
      </w:r>
      <w:r w:rsidR="00DE0AC8">
        <w:t xml:space="preserve">The </w:t>
      </w:r>
      <w:r w:rsidR="00FC7AD6">
        <w:t xml:space="preserve">Rapid </w:t>
      </w:r>
      <w:r w:rsidR="00FF4CF9">
        <w:t>DNA Unit</w:t>
      </w:r>
      <w:r w:rsidR="00DE0AC8">
        <w:t xml:space="preserve"> will be maintained in accordance with the manufacturer’s </w:t>
      </w:r>
      <w:r w:rsidR="00FF4CF9">
        <w:t>r</w:t>
      </w:r>
      <w:r w:rsidR="00DE0AC8">
        <w:t>ecommendations.</w:t>
      </w:r>
      <w:r w:rsidR="00ED352B">
        <w:t xml:space="preserve"> </w:t>
      </w:r>
    </w:p>
    <w:p w14:paraId="0D47EB48" w14:textId="77777777" w:rsidR="00ED352B" w:rsidRDefault="00ED352B" w:rsidP="00ED352B">
      <w:pPr>
        <w:pStyle w:val="ListParagraph"/>
        <w:spacing w:line="360" w:lineRule="auto"/>
        <w:ind w:left="360"/>
      </w:pPr>
    </w:p>
    <w:p w14:paraId="71234261" w14:textId="0BAD75D6" w:rsidR="005468B3" w:rsidRDefault="00ED352B" w:rsidP="007B531A">
      <w:pPr>
        <w:pStyle w:val="ListParagraph"/>
        <w:numPr>
          <w:ilvl w:val="0"/>
          <w:numId w:val="13"/>
        </w:numPr>
        <w:spacing w:line="360" w:lineRule="auto"/>
        <w:ind w:left="360"/>
      </w:pPr>
      <w:r>
        <w:t xml:space="preserve">The Rapid DNA Unit shall be kept in a secured and restricted access area whether at the Charleston County Coroner’s Office facility or deployed to another facility. </w:t>
      </w:r>
      <w:r w:rsidR="00DE0AC8">
        <w:t xml:space="preserve"> </w:t>
      </w:r>
    </w:p>
    <w:p w14:paraId="54E809D7" w14:textId="77777777" w:rsidR="00B227A9" w:rsidRDefault="00B227A9" w:rsidP="005468B3">
      <w:pPr>
        <w:spacing w:line="360" w:lineRule="auto"/>
      </w:pPr>
    </w:p>
    <w:p w14:paraId="7F2F89FB" w14:textId="699316B5" w:rsidR="005205F2" w:rsidRPr="005205F2" w:rsidRDefault="005205F2" w:rsidP="00AD2052">
      <w:pPr>
        <w:spacing w:after="160" w:line="360" w:lineRule="auto"/>
        <w:ind w:left="450" w:hanging="450"/>
        <w:jc w:val="both"/>
        <w:rPr>
          <w:rFonts w:eastAsia="Calibri"/>
        </w:rPr>
      </w:pPr>
      <w:r>
        <w:rPr>
          <w:rFonts w:eastAsia="Calibri"/>
        </w:rPr>
        <w:t>55.</w:t>
      </w:r>
      <w:r w:rsidR="001E21B3">
        <w:rPr>
          <w:rFonts w:eastAsia="Calibri"/>
        </w:rPr>
        <w:t>2</w:t>
      </w:r>
      <w:r>
        <w:rPr>
          <w:rFonts w:eastAsia="Calibri"/>
        </w:rPr>
        <w:t xml:space="preserve"> </w:t>
      </w:r>
      <w:r w:rsidRPr="005205F2">
        <w:rPr>
          <w:rFonts w:eastAsia="Calibri"/>
          <w:u w:val="single"/>
        </w:rPr>
        <w:t>SAMPLE ACCEPTANCE CRITERIA</w:t>
      </w:r>
    </w:p>
    <w:p w14:paraId="5DCD6F7F" w14:textId="0E9ED9F3" w:rsidR="005205F2" w:rsidRDefault="005205F2" w:rsidP="00AD2052">
      <w:pPr>
        <w:spacing w:after="160" w:line="360" w:lineRule="auto"/>
        <w:jc w:val="both"/>
        <w:rPr>
          <w:rFonts w:eastAsia="Calibri"/>
        </w:rPr>
      </w:pPr>
      <w:r w:rsidRPr="005205F2">
        <w:rPr>
          <w:rFonts w:eastAsia="Calibri"/>
        </w:rPr>
        <w:t xml:space="preserve">Rapid DNA </w:t>
      </w:r>
      <w:r>
        <w:rPr>
          <w:rFonts w:eastAsia="Calibri"/>
        </w:rPr>
        <w:t>trained staff</w:t>
      </w:r>
      <w:r w:rsidRPr="005205F2">
        <w:rPr>
          <w:rFonts w:eastAsia="Calibri"/>
        </w:rPr>
        <w:t xml:space="preserve"> conducting Rapid DNA analysis shall ensure that each sample submitted for</w:t>
      </w:r>
      <w:r w:rsidR="00ED352B">
        <w:rPr>
          <w:rFonts w:eastAsia="Calibri"/>
        </w:rPr>
        <w:t xml:space="preserve"> comparison</w:t>
      </w:r>
      <w:r w:rsidRPr="005205F2">
        <w:rPr>
          <w:rFonts w:eastAsia="Calibri"/>
        </w:rPr>
        <w:t xml:space="preserve"> meets the following acceptance criteria:</w:t>
      </w:r>
    </w:p>
    <w:p w14:paraId="2DA8AF3A" w14:textId="02E56949" w:rsidR="008417E8" w:rsidRDefault="008A3748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 w:rsidRPr="00AD2052">
        <w:rPr>
          <w:rFonts w:eastAsia="Calibri"/>
        </w:rPr>
        <w:t xml:space="preserve">Approval from the Coroner or Chief Deputy was obtained to process the sample as part of a death investigation for the purposes of identifying the decedent or the sample was collected as part of a death scene investigation </w:t>
      </w:r>
      <w:r w:rsidR="00AD2052">
        <w:rPr>
          <w:rFonts w:eastAsia="Calibri"/>
        </w:rPr>
        <w:t xml:space="preserve">by the co-investigating law enforcement agency </w:t>
      </w:r>
      <w:r w:rsidRPr="00AD2052">
        <w:rPr>
          <w:rFonts w:eastAsia="Calibri"/>
        </w:rPr>
        <w:t>and a reasonable belief exists that the sample may provide a viable investigative lead.</w:t>
      </w:r>
      <w:r w:rsidR="00AD2052" w:rsidRPr="00AD2052">
        <w:rPr>
          <w:rFonts w:eastAsia="Calibri"/>
        </w:rPr>
        <w:t xml:space="preserve">  If a sample type or the quantity of sample which was </w:t>
      </w:r>
      <w:r w:rsidR="00AD2052" w:rsidRPr="00AD2052">
        <w:rPr>
          <w:rFonts w:eastAsia="Calibri"/>
        </w:rPr>
        <w:lastRenderedPageBreak/>
        <w:t xml:space="preserve">submitted by </w:t>
      </w:r>
      <w:r w:rsidR="00AD2052">
        <w:rPr>
          <w:rFonts w:eastAsia="Calibri"/>
        </w:rPr>
        <w:t>the co-</w:t>
      </w:r>
      <w:r w:rsidR="00AD2052" w:rsidRPr="00AD2052">
        <w:rPr>
          <w:rFonts w:eastAsia="Calibri"/>
        </w:rPr>
        <w:t>agency is not appropriate for Rapid DNA testing, the evidence shall be returned unanalyzed to the submitting agency.</w:t>
      </w:r>
    </w:p>
    <w:p w14:paraId="311AE8BF" w14:textId="77777777" w:rsidR="004C766F" w:rsidRPr="00AD2052" w:rsidRDefault="004C766F" w:rsidP="004C766F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2D3B4B28" w14:textId="311D5FF3" w:rsidR="005205F2" w:rsidRDefault="005205F2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 w:rsidRPr="008A3748">
        <w:rPr>
          <w:rFonts w:eastAsia="Calibri"/>
        </w:rPr>
        <w:t>Sample was collected by personnel who have received the ANDE swab training</w:t>
      </w:r>
      <w:r w:rsidR="00B63830" w:rsidRPr="008A3748">
        <w:rPr>
          <w:rFonts w:eastAsia="Calibri"/>
        </w:rPr>
        <w:t>.</w:t>
      </w:r>
    </w:p>
    <w:p w14:paraId="6C9BDA89" w14:textId="77777777" w:rsidR="00ED352B" w:rsidRPr="008A3748" w:rsidRDefault="00ED352B" w:rsidP="00ED352B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56BF0636" w14:textId="326035FD" w:rsidR="005205F2" w:rsidRDefault="005205F2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 w:rsidRPr="008A3748">
        <w:rPr>
          <w:rFonts w:eastAsia="Calibri"/>
        </w:rPr>
        <w:t>A</w:t>
      </w:r>
      <w:r w:rsidR="00B63830" w:rsidRPr="008A3748">
        <w:rPr>
          <w:rFonts w:eastAsia="Calibri"/>
        </w:rPr>
        <w:t xml:space="preserve"> </w:t>
      </w:r>
      <w:r w:rsidRPr="008A3748">
        <w:rPr>
          <w:rFonts w:eastAsia="Calibri"/>
        </w:rPr>
        <w:t>sample collected by a non-trained individual may be accepted if collected according to the Rapid DNA program submission criteria</w:t>
      </w:r>
      <w:r w:rsidR="00B63830" w:rsidRPr="008A3748">
        <w:rPr>
          <w:rFonts w:eastAsia="Calibri"/>
        </w:rPr>
        <w:t>.</w:t>
      </w:r>
    </w:p>
    <w:p w14:paraId="3B0AAF2F" w14:textId="77777777" w:rsidR="004C766F" w:rsidRPr="008A3748" w:rsidRDefault="004C766F" w:rsidP="004C766F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2C035081" w14:textId="3003FA69" w:rsidR="005205F2" w:rsidRDefault="005205F2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 w:rsidRPr="0061223D">
        <w:rPr>
          <w:rFonts w:eastAsia="Calibri"/>
          <w:u w:val="single"/>
        </w:rPr>
        <w:t>It is preferred that blood and semen samples for Rapid DNA analysis be submitted in a dried manner and upon an ANDE swab</w:t>
      </w:r>
      <w:r w:rsidR="00B63830" w:rsidRPr="008A3748">
        <w:rPr>
          <w:rFonts w:eastAsia="Calibri"/>
        </w:rPr>
        <w:t>.</w:t>
      </w:r>
    </w:p>
    <w:p w14:paraId="2E04AF21" w14:textId="77777777" w:rsidR="004C766F" w:rsidRPr="008A3748" w:rsidRDefault="004C766F" w:rsidP="004C766F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3A9B8D96" w14:textId="59C8F2B6" w:rsidR="005205F2" w:rsidRDefault="005205F2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 w:rsidRPr="008A3748">
        <w:rPr>
          <w:rFonts w:eastAsia="Calibri"/>
        </w:rPr>
        <w:t xml:space="preserve">Warning:  Caution when using damp materials for DNA collection as DNA on item(s) may be compromised (to be considered on a </w:t>
      </w:r>
      <w:r w:rsidR="00B63830" w:rsidRPr="008A3748">
        <w:rPr>
          <w:rFonts w:eastAsia="Calibri"/>
        </w:rPr>
        <w:t>case-by-case</w:t>
      </w:r>
      <w:r w:rsidRPr="008A3748">
        <w:rPr>
          <w:rFonts w:eastAsia="Calibri"/>
        </w:rPr>
        <w:t xml:space="preserve"> basis).</w:t>
      </w:r>
    </w:p>
    <w:p w14:paraId="3C4AB1BA" w14:textId="77777777" w:rsidR="009D60E1" w:rsidRDefault="009D60E1" w:rsidP="009D60E1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066B7883" w14:textId="6EC66246" w:rsidR="009D60E1" w:rsidRDefault="009D60E1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>
        <w:rPr>
          <w:rFonts w:eastAsia="Calibri"/>
        </w:rPr>
        <w:t>Each sample will have a unique barcode number generated by the Rapid DNA system.  The assigned Office MDILog case number will be referenced in the system.</w:t>
      </w:r>
    </w:p>
    <w:p w14:paraId="3498BE44" w14:textId="77777777" w:rsidR="004C766F" w:rsidRDefault="004C766F" w:rsidP="004C766F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354DDEE4" w14:textId="5FBC9251" w:rsidR="0061223D" w:rsidRDefault="0061223D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  <w:rPr>
          <w:rFonts w:eastAsia="Calibri"/>
        </w:rPr>
      </w:pPr>
      <w:r>
        <w:rPr>
          <w:rFonts w:eastAsia="Calibri"/>
        </w:rPr>
        <w:t xml:space="preserve">The sample(s) </w:t>
      </w:r>
      <w:r w:rsidR="009D60E1">
        <w:rPr>
          <w:rFonts w:eastAsia="Calibri"/>
        </w:rPr>
        <w:t>shall be</w:t>
      </w:r>
      <w:r>
        <w:rPr>
          <w:rFonts w:eastAsia="Calibri"/>
        </w:rPr>
        <w:t xml:space="preserve"> entered into the Tracker Products evidence management software system</w:t>
      </w:r>
      <w:r w:rsidR="009D60E1">
        <w:rPr>
          <w:rFonts w:eastAsia="Calibri"/>
        </w:rPr>
        <w:t xml:space="preserve"> and stored under refrigerated conditions in the evidence room.</w:t>
      </w:r>
      <w:r>
        <w:rPr>
          <w:rFonts w:eastAsia="Calibri"/>
        </w:rPr>
        <w:t xml:space="preserve">  </w:t>
      </w:r>
      <w:r w:rsidR="004C766F">
        <w:rPr>
          <w:rFonts w:eastAsia="Calibri"/>
        </w:rPr>
        <w:t>When</w:t>
      </w:r>
      <w:r>
        <w:rPr>
          <w:rFonts w:eastAsia="Calibri"/>
        </w:rPr>
        <w:t xml:space="preserve"> the sample is consumed in the testing process, the sample shall be disposed in the system</w:t>
      </w:r>
      <w:r w:rsidR="004C766F">
        <w:rPr>
          <w:rFonts w:eastAsia="Calibri"/>
        </w:rPr>
        <w:t>.</w:t>
      </w:r>
    </w:p>
    <w:p w14:paraId="49A488B7" w14:textId="77777777" w:rsidR="004C766F" w:rsidRDefault="004C766F" w:rsidP="004C766F">
      <w:pPr>
        <w:pStyle w:val="ListParagraph"/>
        <w:spacing w:after="160" w:line="360" w:lineRule="auto"/>
        <w:ind w:left="450"/>
        <w:jc w:val="both"/>
        <w:rPr>
          <w:rFonts w:eastAsia="Calibri"/>
        </w:rPr>
      </w:pPr>
    </w:p>
    <w:p w14:paraId="24ACD10C" w14:textId="7B7981BE" w:rsidR="00ED3457" w:rsidRPr="00ED3457" w:rsidRDefault="008A3748" w:rsidP="00AD2052">
      <w:pPr>
        <w:pStyle w:val="ListParagraph"/>
        <w:numPr>
          <w:ilvl w:val="0"/>
          <w:numId w:val="11"/>
        </w:numPr>
        <w:spacing w:after="160" w:line="360" w:lineRule="auto"/>
        <w:ind w:left="450"/>
        <w:jc w:val="both"/>
      </w:pPr>
      <w:r w:rsidRPr="00ED3457">
        <w:t xml:space="preserve">The sample types </w:t>
      </w:r>
      <w:r w:rsidR="00AD2052">
        <w:t xml:space="preserve">meet one of the following: </w:t>
      </w:r>
    </w:p>
    <w:p w14:paraId="6C21E78B" w14:textId="346FB12D" w:rsidR="00ED3457" w:rsidRPr="00BC32A2" w:rsidRDefault="00ED3457" w:rsidP="00AD2052">
      <w:pPr>
        <w:numPr>
          <w:ilvl w:val="1"/>
          <w:numId w:val="12"/>
        </w:numPr>
        <w:tabs>
          <w:tab w:val="left" w:pos="900"/>
        </w:tabs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Apparent blood on a swab or cloth material</w:t>
      </w:r>
      <w:r w:rsidR="00AD2052" w:rsidRPr="00AD2052">
        <w:rPr>
          <w:rFonts w:eastAsia="Calibri"/>
        </w:rPr>
        <w:t xml:space="preserve"> with a </w:t>
      </w:r>
      <w:r w:rsidR="00AD2052" w:rsidRPr="00BC32A2">
        <w:rPr>
          <w:rFonts w:eastAsia="Calibri"/>
        </w:rPr>
        <w:t>minimum</w:t>
      </w:r>
      <w:r w:rsidRPr="00BC32A2">
        <w:rPr>
          <w:rFonts w:eastAsia="Calibri"/>
        </w:rPr>
        <w:t xml:space="preserve"> diameter </w:t>
      </w:r>
      <w:r w:rsidR="00AD2052" w:rsidRPr="00BC32A2">
        <w:rPr>
          <w:rFonts w:eastAsia="Calibri"/>
        </w:rPr>
        <w:t xml:space="preserve">of </w:t>
      </w:r>
      <w:r w:rsidR="00AD2052">
        <w:rPr>
          <w:rFonts w:eastAsia="Calibri"/>
        </w:rPr>
        <w:t>5</w:t>
      </w:r>
      <w:r w:rsidRPr="00BC32A2">
        <w:rPr>
          <w:rFonts w:eastAsia="Calibri"/>
        </w:rPr>
        <w:t xml:space="preserve"> mm</w:t>
      </w:r>
      <w:r w:rsidR="00AD2052">
        <w:rPr>
          <w:rFonts w:eastAsia="Calibri"/>
        </w:rPr>
        <w:t>.</w:t>
      </w:r>
    </w:p>
    <w:p w14:paraId="6BBCAFA9" w14:textId="31EE313E" w:rsidR="00ED3457" w:rsidRPr="00BC32A2" w:rsidRDefault="00AD2052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>
        <w:rPr>
          <w:rFonts w:eastAsia="Calibri"/>
        </w:rPr>
        <w:t>S</w:t>
      </w:r>
      <w:r w:rsidR="00ED3457" w:rsidRPr="00BC32A2">
        <w:rPr>
          <w:rFonts w:eastAsia="Calibri"/>
        </w:rPr>
        <w:t xml:space="preserve">amples to include blood, organ tissue or bone </w:t>
      </w:r>
      <w:r w:rsidRPr="00BC32A2">
        <w:rPr>
          <w:rFonts w:eastAsia="Calibri"/>
        </w:rPr>
        <w:t>sample.</w:t>
      </w:r>
      <w:r w:rsidR="00ED3457" w:rsidRPr="00BC32A2">
        <w:rPr>
          <w:rFonts w:eastAsia="Calibri"/>
        </w:rPr>
        <w:t xml:space="preserve"> </w:t>
      </w:r>
    </w:p>
    <w:p w14:paraId="40ABE373" w14:textId="7BD305FD" w:rsidR="00ED3457" w:rsidRPr="00BC32A2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Apparent saliva sample (sputum or phlegm) on a swab or cloth material</w:t>
      </w:r>
      <w:r w:rsidR="00AD2052">
        <w:rPr>
          <w:rFonts w:eastAsia="Calibri"/>
        </w:rPr>
        <w:t>.</w:t>
      </w:r>
    </w:p>
    <w:p w14:paraId="1D4192C3" w14:textId="6999A6BB" w:rsidR="00ED3457" w:rsidRPr="00BC32A2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Smoked cigarette butt</w:t>
      </w:r>
      <w:r w:rsidR="00AD2052">
        <w:rPr>
          <w:rFonts w:eastAsia="Calibri"/>
        </w:rPr>
        <w:t>.</w:t>
      </w:r>
    </w:p>
    <w:p w14:paraId="77A81076" w14:textId="469E3C75" w:rsidR="00ED3457" w:rsidRPr="00BC32A2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Hair</w:t>
      </w:r>
      <w:r w:rsidR="00AD2052">
        <w:rPr>
          <w:rFonts w:eastAsia="Calibri"/>
        </w:rPr>
        <w:t>.</w:t>
      </w:r>
    </w:p>
    <w:p w14:paraId="058C85F7" w14:textId="3F823D41" w:rsidR="00ED3457" w:rsidRPr="00BC32A2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Chewed gum</w:t>
      </w:r>
      <w:r w:rsidR="00AD2052">
        <w:rPr>
          <w:rFonts w:eastAsia="Calibri"/>
        </w:rPr>
        <w:t>.</w:t>
      </w:r>
    </w:p>
    <w:p w14:paraId="34B389D2" w14:textId="7A71B097" w:rsidR="00ED3457" w:rsidRPr="00BC32A2" w:rsidRDefault="00ED3457" w:rsidP="00AD2052">
      <w:pPr>
        <w:numPr>
          <w:ilvl w:val="1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>Apparent semen sample on a swab or cloth</w:t>
      </w:r>
      <w:r w:rsidR="00AD2052" w:rsidRPr="00AD2052">
        <w:rPr>
          <w:rFonts w:eastAsia="Calibri"/>
        </w:rPr>
        <w:t xml:space="preserve"> NOT from</w:t>
      </w:r>
      <w:r w:rsidR="00AD2052">
        <w:rPr>
          <w:rFonts w:eastAsia="Calibri"/>
        </w:rPr>
        <w:t xml:space="preserve"> </w:t>
      </w:r>
      <w:r w:rsidRPr="00BC32A2">
        <w:rPr>
          <w:rFonts w:eastAsia="Calibri"/>
        </w:rPr>
        <w:t>a suspected mixture such as a vaginal or anal swab</w:t>
      </w:r>
      <w:r w:rsidR="00AD2052">
        <w:rPr>
          <w:rFonts w:eastAsia="Calibri"/>
        </w:rPr>
        <w:t>.</w:t>
      </w:r>
    </w:p>
    <w:p w14:paraId="66BB03A5" w14:textId="7A5A6F6D" w:rsidR="00ED3457" w:rsidRPr="00BC32A2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lastRenderedPageBreak/>
        <w:t>Reference samples</w:t>
      </w:r>
      <w:r w:rsidR="00AD2052">
        <w:rPr>
          <w:rFonts w:eastAsia="Calibri"/>
        </w:rPr>
        <w:t>.</w:t>
      </w:r>
    </w:p>
    <w:p w14:paraId="2F87C049" w14:textId="08868E88" w:rsidR="00ED3457" w:rsidRDefault="00ED3457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BC32A2">
        <w:rPr>
          <w:rFonts w:eastAsia="Calibri"/>
        </w:rPr>
        <w:t xml:space="preserve">Other samples such as toothbrushes or hairbrushes may be approved as appropriate based on training and experience of the trained </w:t>
      </w:r>
      <w:r w:rsidR="00AD2052">
        <w:rPr>
          <w:rFonts w:eastAsia="Calibri"/>
        </w:rPr>
        <w:t>staff.</w:t>
      </w:r>
    </w:p>
    <w:p w14:paraId="1C6DC75F" w14:textId="072DF180" w:rsidR="001E21B3" w:rsidRDefault="0061223D" w:rsidP="00AD2052">
      <w:pPr>
        <w:numPr>
          <w:ilvl w:val="0"/>
          <w:numId w:val="12"/>
        </w:numPr>
        <w:spacing w:after="160" w:line="360" w:lineRule="auto"/>
        <w:ind w:left="810"/>
        <w:contextualSpacing/>
        <w:jc w:val="both"/>
        <w:rPr>
          <w:rFonts w:eastAsia="Calibri"/>
        </w:rPr>
      </w:pPr>
      <w:r w:rsidRPr="0061223D">
        <w:rPr>
          <w:rFonts w:eastAsia="Calibri"/>
        </w:rPr>
        <w:t>Each sample should be packaged in a</w:t>
      </w:r>
      <w:r>
        <w:rPr>
          <w:rFonts w:eastAsia="Calibri"/>
        </w:rPr>
        <w:t xml:space="preserve"> </w:t>
      </w:r>
      <w:r w:rsidR="004C766F">
        <w:rPr>
          <w:rFonts w:eastAsia="Calibri"/>
        </w:rPr>
        <w:t>separate</w:t>
      </w:r>
      <w:r w:rsidRPr="0061223D">
        <w:rPr>
          <w:rFonts w:eastAsia="Calibri"/>
        </w:rPr>
        <w:t xml:space="preserve"> envelope. </w:t>
      </w:r>
    </w:p>
    <w:p w14:paraId="054D3E21" w14:textId="77777777" w:rsidR="00ED352B" w:rsidRDefault="00ED352B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3C1A109E" w14:textId="62EECDC1" w:rsidR="00ED352B" w:rsidRPr="00ED352B" w:rsidRDefault="00ED352B" w:rsidP="00ED352B">
      <w:pPr>
        <w:spacing w:after="160" w:line="360" w:lineRule="auto"/>
        <w:contextualSpacing/>
        <w:jc w:val="both"/>
        <w:rPr>
          <w:rFonts w:eastAsia="Calibri"/>
        </w:rPr>
      </w:pPr>
      <w:r w:rsidRPr="00ED352B">
        <w:rPr>
          <w:rFonts w:eastAsia="Calibri"/>
        </w:rPr>
        <w:t>5</w:t>
      </w:r>
      <w:r>
        <w:rPr>
          <w:rFonts w:eastAsia="Calibri"/>
        </w:rPr>
        <w:t xml:space="preserve">5.3 </w:t>
      </w:r>
      <w:r w:rsidR="00A00056" w:rsidRPr="00A00056">
        <w:rPr>
          <w:rFonts w:eastAsia="Calibri"/>
          <w:u w:val="single"/>
        </w:rPr>
        <w:t>CONSUMABLE KITS</w:t>
      </w:r>
    </w:p>
    <w:p w14:paraId="4EFC5DFB" w14:textId="43558AFF" w:rsidR="00ED352B" w:rsidRDefault="00A00056" w:rsidP="00ED352B">
      <w:pPr>
        <w:spacing w:after="16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A </w:t>
      </w:r>
      <w:r w:rsidR="00222383">
        <w:rPr>
          <w:rFonts w:eastAsia="Calibri"/>
        </w:rPr>
        <w:t>“</w:t>
      </w:r>
      <w:r>
        <w:rPr>
          <w:rFonts w:eastAsia="Calibri"/>
        </w:rPr>
        <w:t>consumable kit</w:t>
      </w:r>
      <w:r w:rsidR="00222383">
        <w:rPr>
          <w:rFonts w:eastAsia="Calibri"/>
        </w:rPr>
        <w:t>”</w:t>
      </w:r>
      <w:r>
        <w:rPr>
          <w:rFonts w:eastAsia="Calibri"/>
        </w:rPr>
        <w:t xml:space="preserve"> is</w:t>
      </w:r>
      <w:r w:rsidR="00222383">
        <w:rPr>
          <w:rFonts w:eastAsia="Calibri"/>
        </w:rPr>
        <w:t xml:space="preserve"> comprised of perishable apparati which facilitates the testing of samples in the Rapid DNA Unit.  </w:t>
      </w:r>
      <w:r w:rsidR="00ED352B" w:rsidRPr="00ED352B">
        <w:rPr>
          <w:rFonts w:eastAsia="Calibri"/>
        </w:rPr>
        <w:t xml:space="preserve">Upon receipt of a shipment of consumable kits, the </w:t>
      </w:r>
      <w:r w:rsidR="005C5386">
        <w:rPr>
          <w:rFonts w:eastAsia="Calibri"/>
        </w:rPr>
        <w:t>Supervisor of Forensic Services</w:t>
      </w:r>
      <w:r w:rsidR="00ED352B" w:rsidRPr="00ED352B">
        <w:rPr>
          <w:rFonts w:eastAsia="Calibri"/>
        </w:rPr>
        <w:t xml:space="preserve"> shall visually inspect the contents of each shipment to ensure that the packaging is not damaged, and that the expiration date is at least 6-months after the date of receipt.  If not, the vendor shall be notified that the kits are unacceptable.</w:t>
      </w:r>
    </w:p>
    <w:p w14:paraId="71188713" w14:textId="77777777" w:rsidR="00286CE9" w:rsidRDefault="00286CE9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43D99789" w14:textId="471F9A33" w:rsidR="00ED352B" w:rsidRPr="00ED352B" w:rsidRDefault="00286CE9" w:rsidP="00ED352B">
      <w:pPr>
        <w:spacing w:after="160" w:line="360" w:lineRule="auto"/>
        <w:contextualSpacing/>
        <w:jc w:val="both"/>
        <w:rPr>
          <w:rFonts w:eastAsia="Calibri"/>
        </w:rPr>
      </w:pPr>
      <w:bookmarkStart w:id="0" w:name="_Hlk160199949"/>
      <w:r>
        <w:rPr>
          <w:rFonts w:eastAsia="Calibri"/>
        </w:rPr>
        <w:t xml:space="preserve">55.4 </w:t>
      </w:r>
      <w:r w:rsidR="00ED352B" w:rsidRPr="00286CE9">
        <w:rPr>
          <w:rFonts w:eastAsia="Calibri"/>
          <w:u w:val="single"/>
        </w:rPr>
        <w:t>RAPID DNA TESTING PROCEDURES</w:t>
      </w:r>
    </w:p>
    <w:bookmarkEnd w:id="0"/>
    <w:p w14:paraId="38825ED7" w14:textId="7022CC79" w:rsidR="001B6BA8" w:rsidRDefault="001B6BA8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1B6BA8">
        <w:rPr>
          <w:rFonts w:eastAsia="Calibri"/>
        </w:rPr>
        <w:t xml:space="preserve">Access to the Rapid DNA </w:t>
      </w:r>
      <w:r>
        <w:rPr>
          <w:rFonts w:eastAsia="Calibri"/>
        </w:rPr>
        <w:t>Unit</w:t>
      </w:r>
      <w:r w:rsidRPr="001B6BA8">
        <w:rPr>
          <w:rFonts w:eastAsia="Calibri"/>
        </w:rPr>
        <w:t xml:space="preserve"> is strictly limited to authorized</w:t>
      </w:r>
      <w:r>
        <w:rPr>
          <w:rFonts w:eastAsia="Calibri"/>
        </w:rPr>
        <w:t xml:space="preserve"> and trained</w:t>
      </w:r>
      <w:r w:rsidRPr="001B6BA8">
        <w:rPr>
          <w:rFonts w:eastAsia="Calibri"/>
        </w:rPr>
        <w:t xml:space="preserve"> personnel only when a Rapid DNA analysis is being conducted.</w:t>
      </w:r>
    </w:p>
    <w:p w14:paraId="694E424D" w14:textId="77777777" w:rsidR="001B6BA8" w:rsidRDefault="001B6BA8" w:rsidP="001B6BA8">
      <w:pPr>
        <w:pStyle w:val="ListParagraph"/>
        <w:spacing w:after="160" w:line="360" w:lineRule="auto"/>
        <w:jc w:val="both"/>
        <w:rPr>
          <w:rFonts w:eastAsia="Calibri"/>
        </w:rPr>
      </w:pPr>
    </w:p>
    <w:p w14:paraId="0D97339F" w14:textId="7C7D2DAD" w:rsidR="00ED352B" w:rsidRPr="005C5386" w:rsidRDefault="006D52E5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Detailed </w:t>
      </w:r>
      <w:r w:rsidR="00ED352B" w:rsidRPr="005C5386">
        <w:rPr>
          <w:rFonts w:eastAsia="Calibri"/>
        </w:rPr>
        <w:t>Rapid DNA analysis procedures are contained in the Rapid DNA Operator Procedure Manual provided by and certified by ANDE.</w:t>
      </w:r>
    </w:p>
    <w:p w14:paraId="1D4566C9" w14:textId="77777777" w:rsidR="005C5386" w:rsidRPr="005C5386" w:rsidRDefault="005C5386" w:rsidP="005C5386">
      <w:pPr>
        <w:pStyle w:val="ListParagraph"/>
        <w:spacing w:after="160" w:line="360" w:lineRule="auto"/>
        <w:jc w:val="both"/>
        <w:rPr>
          <w:rFonts w:eastAsia="Calibri"/>
        </w:rPr>
      </w:pPr>
    </w:p>
    <w:p w14:paraId="784D79A5" w14:textId="1F24448A" w:rsidR="00ED352B" w:rsidRDefault="00ED352B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After completion of the sample testing process, the provided swabs and DNA sample is completely consumed.  The </w:t>
      </w:r>
      <w:r w:rsidR="001B6BA8">
        <w:rPr>
          <w:rFonts w:eastAsia="Calibri"/>
        </w:rPr>
        <w:t>used consumable kit</w:t>
      </w:r>
      <w:r w:rsidRPr="005C5386">
        <w:rPr>
          <w:rFonts w:eastAsia="Calibri"/>
        </w:rPr>
        <w:t xml:space="preserve"> is considered biohazardous and will be disposed of properly. </w:t>
      </w:r>
    </w:p>
    <w:p w14:paraId="7340A6E5" w14:textId="77777777" w:rsidR="001B6BA8" w:rsidRPr="005C5386" w:rsidRDefault="001B6BA8" w:rsidP="001B6BA8">
      <w:pPr>
        <w:pStyle w:val="ListParagraph"/>
        <w:spacing w:after="160" w:line="360" w:lineRule="auto"/>
        <w:jc w:val="both"/>
        <w:rPr>
          <w:rFonts w:eastAsia="Calibri"/>
        </w:rPr>
      </w:pPr>
    </w:p>
    <w:p w14:paraId="0CA4022A" w14:textId="633E2A5B" w:rsidR="00286CE9" w:rsidRPr="005C5386" w:rsidRDefault="00ED352B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Any other type of evidence not consumed by the testing shall be returned to any submitting law enforcement agencies</w:t>
      </w:r>
      <w:r w:rsidR="00286CE9" w:rsidRPr="005C5386">
        <w:rPr>
          <w:rFonts w:eastAsia="Calibri"/>
        </w:rPr>
        <w:t xml:space="preserve"> in accordance with the Property and Evidence Control Policy</w:t>
      </w:r>
      <w:r w:rsidRPr="005C5386">
        <w:rPr>
          <w:rFonts w:eastAsia="Calibri"/>
        </w:rPr>
        <w:t xml:space="preserve">. </w:t>
      </w:r>
    </w:p>
    <w:p w14:paraId="0A0A0397" w14:textId="77777777" w:rsidR="005C5386" w:rsidRPr="005C5386" w:rsidRDefault="005C5386" w:rsidP="005C5386">
      <w:pPr>
        <w:pStyle w:val="ListParagraph"/>
        <w:spacing w:after="160" w:line="360" w:lineRule="auto"/>
        <w:jc w:val="both"/>
        <w:rPr>
          <w:rFonts w:eastAsia="Calibri"/>
        </w:rPr>
      </w:pPr>
    </w:p>
    <w:p w14:paraId="2F10DF20" w14:textId="77777777" w:rsidR="005C5386" w:rsidRDefault="00ED352B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When either the profile </w:t>
      </w:r>
      <w:r w:rsidR="00A25C34" w:rsidRPr="005C5386">
        <w:rPr>
          <w:rFonts w:eastAsia="Calibri"/>
        </w:rPr>
        <w:t xml:space="preserve">testing is complete, (matching or not) or the sample is </w:t>
      </w:r>
      <w:r w:rsidRPr="005C5386">
        <w:rPr>
          <w:rFonts w:eastAsia="Calibri"/>
        </w:rPr>
        <w:t>not suitable for a database search</w:t>
      </w:r>
      <w:r w:rsidR="00A25C34" w:rsidRPr="005C5386">
        <w:rPr>
          <w:rFonts w:eastAsia="Calibri"/>
        </w:rPr>
        <w:t xml:space="preserve">, </w:t>
      </w:r>
      <w:r w:rsidRPr="005C5386">
        <w:rPr>
          <w:rFonts w:eastAsia="Calibri"/>
        </w:rPr>
        <w:t xml:space="preserve">the Rapid DNA </w:t>
      </w:r>
      <w:r w:rsidR="00286CE9" w:rsidRPr="005C5386">
        <w:rPr>
          <w:rFonts w:eastAsia="Calibri"/>
        </w:rPr>
        <w:t>o</w:t>
      </w:r>
      <w:r w:rsidRPr="005C5386">
        <w:rPr>
          <w:rFonts w:eastAsia="Calibri"/>
        </w:rPr>
        <w:t xml:space="preserve">perator shall </w:t>
      </w:r>
      <w:r w:rsidR="00A25C34" w:rsidRPr="005C5386">
        <w:rPr>
          <w:rFonts w:eastAsia="Calibri"/>
        </w:rPr>
        <w:t xml:space="preserve">notify the case deputy and </w:t>
      </w:r>
      <w:r w:rsidR="006D52E5" w:rsidRPr="005C5386">
        <w:rPr>
          <w:rFonts w:eastAsia="Calibri"/>
        </w:rPr>
        <w:t xml:space="preserve">submit a report of any results to the case file documents in MDILog. </w:t>
      </w:r>
    </w:p>
    <w:p w14:paraId="10BFF8C1" w14:textId="77777777" w:rsidR="001B6BA8" w:rsidRDefault="001B6BA8" w:rsidP="001B6BA8">
      <w:pPr>
        <w:pStyle w:val="ListParagraph"/>
        <w:spacing w:after="160" w:line="360" w:lineRule="auto"/>
        <w:jc w:val="both"/>
        <w:rPr>
          <w:rFonts w:eastAsia="Calibri"/>
        </w:rPr>
      </w:pPr>
    </w:p>
    <w:p w14:paraId="4CFEDA28" w14:textId="354C9848" w:rsidR="00ED352B" w:rsidRPr="005C5386" w:rsidRDefault="00ED352B" w:rsidP="005C5386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lastRenderedPageBreak/>
        <w:t xml:space="preserve">The </w:t>
      </w:r>
      <w:r w:rsidR="00A25C34" w:rsidRPr="005C5386">
        <w:rPr>
          <w:rFonts w:eastAsia="Calibri"/>
        </w:rPr>
        <w:t>case deputy shall</w:t>
      </w:r>
      <w:r w:rsidRPr="005C5386">
        <w:rPr>
          <w:rFonts w:eastAsia="Calibri"/>
        </w:rPr>
        <w:t xml:space="preserve"> </w:t>
      </w:r>
      <w:r w:rsidR="006D52E5" w:rsidRPr="005C5386">
        <w:rPr>
          <w:rFonts w:eastAsia="Calibri"/>
        </w:rPr>
        <w:t xml:space="preserve">notify the next-of-kin and </w:t>
      </w:r>
      <w:r w:rsidRPr="005C5386">
        <w:rPr>
          <w:rFonts w:eastAsia="Calibri"/>
        </w:rPr>
        <w:t xml:space="preserve">the </w:t>
      </w:r>
      <w:r w:rsidR="006D52E5" w:rsidRPr="005C5386">
        <w:rPr>
          <w:rFonts w:eastAsia="Calibri"/>
        </w:rPr>
        <w:t>co-investigating agency, if applicable.</w:t>
      </w:r>
      <w:r w:rsidRPr="005C5386">
        <w:rPr>
          <w:rFonts w:eastAsia="Calibri"/>
        </w:rPr>
        <w:t xml:space="preserve"> </w:t>
      </w:r>
    </w:p>
    <w:p w14:paraId="46E309BA" w14:textId="4E42C30D" w:rsidR="005C5386" w:rsidRPr="00ED352B" w:rsidRDefault="005C5386" w:rsidP="005C5386">
      <w:pPr>
        <w:spacing w:after="16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55.5 </w:t>
      </w:r>
      <w:r w:rsidRPr="00286CE9">
        <w:rPr>
          <w:rFonts w:eastAsia="Calibri"/>
          <w:u w:val="single"/>
        </w:rPr>
        <w:t>T</w:t>
      </w:r>
      <w:r>
        <w:rPr>
          <w:rFonts w:eastAsia="Calibri"/>
          <w:u w:val="single"/>
        </w:rPr>
        <w:t>RAINING</w:t>
      </w:r>
      <w:r w:rsidRPr="00286CE9">
        <w:rPr>
          <w:rFonts w:eastAsia="Calibri"/>
          <w:u w:val="single"/>
        </w:rPr>
        <w:t xml:space="preserve"> PROCEDURES</w:t>
      </w:r>
    </w:p>
    <w:p w14:paraId="605FA8BD" w14:textId="12B77DBB" w:rsidR="005C5386" w:rsidRDefault="00ED352B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The </w:t>
      </w:r>
      <w:r w:rsidR="006D52E5" w:rsidRPr="005C5386">
        <w:rPr>
          <w:rFonts w:eastAsia="Calibri"/>
        </w:rPr>
        <w:t xml:space="preserve">Supervisor of </w:t>
      </w:r>
      <w:r w:rsidR="005C5386" w:rsidRPr="005C5386">
        <w:rPr>
          <w:rFonts w:eastAsia="Calibri"/>
        </w:rPr>
        <w:t>Forensic Services</w:t>
      </w:r>
      <w:r w:rsidR="006D52E5" w:rsidRPr="005C5386">
        <w:rPr>
          <w:rFonts w:eastAsia="Calibri"/>
        </w:rPr>
        <w:t xml:space="preserve"> is </w:t>
      </w:r>
      <w:r w:rsidRPr="005C5386">
        <w:rPr>
          <w:rFonts w:eastAsia="Calibri"/>
        </w:rPr>
        <w:t xml:space="preserve">responsible for scheduling, </w:t>
      </w:r>
      <w:r w:rsidR="001B6BA8" w:rsidRPr="005C5386">
        <w:rPr>
          <w:rFonts w:eastAsia="Calibri"/>
        </w:rPr>
        <w:t>coordinating,</w:t>
      </w:r>
      <w:r w:rsidRPr="005C5386">
        <w:rPr>
          <w:rFonts w:eastAsia="Calibri"/>
        </w:rPr>
        <w:t xml:space="preserve"> and overseeing training for participating</w:t>
      </w:r>
      <w:r w:rsidR="006D52E5" w:rsidRPr="005C5386">
        <w:rPr>
          <w:rFonts w:eastAsia="Calibri"/>
        </w:rPr>
        <w:t xml:space="preserve"> outside</w:t>
      </w:r>
      <w:r w:rsidRPr="005C5386">
        <w:rPr>
          <w:rFonts w:eastAsia="Calibri"/>
        </w:rPr>
        <w:t xml:space="preserve"> law enforcement agencies</w:t>
      </w:r>
      <w:r w:rsidR="006D52E5" w:rsidRPr="005C5386">
        <w:rPr>
          <w:rFonts w:eastAsia="Calibri"/>
        </w:rPr>
        <w:t xml:space="preserve"> as directed by the Chief Deputy. </w:t>
      </w:r>
      <w:r w:rsidR="005C5386" w:rsidRPr="005C5386">
        <w:rPr>
          <w:rFonts w:eastAsia="Calibri"/>
        </w:rPr>
        <w:t>All personnel who successfully complete the training shall be included in a training completion log.</w:t>
      </w:r>
    </w:p>
    <w:p w14:paraId="4DEF977F" w14:textId="77777777" w:rsidR="005C5386" w:rsidRPr="005C5386" w:rsidRDefault="005C5386" w:rsidP="005C5386">
      <w:pPr>
        <w:pStyle w:val="ListParagraph"/>
        <w:spacing w:after="160" w:line="360" w:lineRule="auto"/>
        <w:jc w:val="both"/>
        <w:rPr>
          <w:rFonts w:eastAsia="Calibri"/>
        </w:rPr>
      </w:pPr>
    </w:p>
    <w:p w14:paraId="1AF8D842" w14:textId="716F587A" w:rsidR="00ED352B" w:rsidRPr="005C5386" w:rsidRDefault="006D52E5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The training </w:t>
      </w:r>
      <w:r w:rsidR="00ED352B" w:rsidRPr="005C5386">
        <w:rPr>
          <w:rFonts w:eastAsia="Calibri"/>
        </w:rPr>
        <w:t>shall include the following topics:</w:t>
      </w:r>
    </w:p>
    <w:p w14:paraId="5B1215BD" w14:textId="3FBA82BA" w:rsidR="00ED352B" w:rsidRPr="005C5386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Collection Procedures</w:t>
      </w:r>
    </w:p>
    <w:p w14:paraId="5FD8EC85" w14:textId="7FDBF859" w:rsidR="00ED352B" w:rsidRPr="005C5386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Overview of Rapid DNA Instrument</w:t>
      </w:r>
    </w:p>
    <w:p w14:paraId="1FF683A2" w14:textId="0BD14306" w:rsidR="00ED352B" w:rsidRPr="005C5386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Procedure for notification of requests for analysis</w:t>
      </w:r>
    </w:p>
    <w:p w14:paraId="4F24A51C" w14:textId="71D233FE" w:rsidR="00ED352B" w:rsidRPr="005C5386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Notification </w:t>
      </w:r>
      <w:r w:rsidR="006D52E5" w:rsidRPr="005C5386">
        <w:rPr>
          <w:rFonts w:eastAsia="Calibri"/>
        </w:rPr>
        <w:t>p</w:t>
      </w:r>
      <w:r w:rsidRPr="005C5386">
        <w:rPr>
          <w:rFonts w:eastAsia="Calibri"/>
        </w:rPr>
        <w:t>rocess</w:t>
      </w:r>
    </w:p>
    <w:p w14:paraId="4BDEF30C" w14:textId="06EEDAEB" w:rsidR="00ED352B" w:rsidRPr="005C5386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Agencies’ responsibility to follow-up on results</w:t>
      </w:r>
    </w:p>
    <w:p w14:paraId="431EDEF6" w14:textId="78853466" w:rsidR="00ED352B" w:rsidRDefault="00ED352B" w:rsidP="001B6BA8">
      <w:pPr>
        <w:pStyle w:val="ListParagraph"/>
        <w:numPr>
          <w:ilvl w:val="1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>Legal implications of Rapid DNA results</w:t>
      </w:r>
    </w:p>
    <w:p w14:paraId="72EDC969" w14:textId="77777777" w:rsidR="001B6BA8" w:rsidRDefault="001B6BA8" w:rsidP="001B6BA8">
      <w:pPr>
        <w:pStyle w:val="ListParagraph"/>
        <w:spacing w:after="160" w:line="360" w:lineRule="auto"/>
        <w:ind w:left="1440"/>
        <w:jc w:val="both"/>
        <w:rPr>
          <w:rFonts w:eastAsia="Calibri"/>
        </w:rPr>
      </w:pPr>
    </w:p>
    <w:p w14:paraId="417D2F12" w14:textId="136C3662" w:rsidR="00ED352B" w:rsidRDefault="00ED352B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1B6BA8">
        <w:rPr>
          <w:rFonts w:eastAsia="Calibri"/>
        </w:rPr>
        <w:t xml:space="preserve">The </w:t>
      </w:r>
      <w:r w:rsidR="001B6BA8">
        <w:rPr>
          <w:rFonts w:eastAsia="Calibri"/>
        </w:rPr>
        <w:t>Supervisor of Forensic Services</w:t>
      </w:r>
      <w:r w:rsidRPr="001B6BA8">
        <w:rPr>
          <w:rFonts w:eastAsia="Calibri"/>
        </w:rPr>
        <w:t xml:space="preserve"> is responsible for scheduling, </w:t>
      </w:r>
      <w:r w:rsidR="001B6BA8" w:rsidRPr="001B6BA8">
        <w:rPr>
          <w:rFonts w:eastAsia="Calibri"/>
        </w:rPr>
        <w:t>coordinating,</w:t>
      </w:r>
      <w:r w:rsidRPr="001B6BA8">
        <w:rPr>
          <w:rFonts w:eastAsia="Calibri"/>
        </w:rPr>
        <w:t xml:space="preserve"> and overseeing training for Rapid DNA </w:t>
      </w:r>
      <w:r w:rsidR="001B6BA8">
        <w:rPr>
          <w:rFonts w:eastAsia="Calibri"/>
        </w:rPr>
        <w:t>o</w:t>
      </w:r>
      <w:r w:rsidRPr="001B6BA8">
        <w:rPr>
          <w:rFonts w:eastAsia="Calibri"/>
        </w:rPr>
        <w:t>perators.</w:t>
      </w:r>
    </w:p>
    <w:p w14:paraId="15A4D269" w14:textId="77777777" w:rsidR="001B6BA8" w:rsidRDefault="001B6BA8" w:rsidP="001B6BA8">
      <w:pPr>
        <w:pStyle w:val="ListParagraph"/>
        <w:spacing w:after="160" w:line="360" w:lineRule="auto"/>
        <w:jc w:val="both"/>
        <w:rPr>
          <w:rFonts w:eastAsia="Calibri"/>
        </w:rPr>
      </w:pPr>
    </w:p>
    <w:p w14:paraId="3D36D8D0" w14:textId="4A4082F4" w:rsidR="00ED352B" w:rsidRDefault="00ED352B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1B6BA8">
        <w:rPr>
          <w:rFonts w:eastAsia="Calibri"/>
        </w:rPr>
        <w:t>Supporting training documentation shall be maintained and available for review.</w:t>
      </w:r>
    </w:p>
    <w:p w14:paraId="632DE4C6" w14:textId="77777777" w:rsidR="001B6BA8" w:rsidRDefault="001B6BA8" w:rsidP="001B6BA8">
      <w:pPr>
        <w:pStyle w:val="ListParagraph"/>
        <w:spacing w:after="160" w:line="360" w:lineRule="auto"/>
        <w:jc w:val="both"/>
        <w:rPr>
          <w:rFonts w:eastAsia="Calibri"/>
        </w:rPr>
      </w:pPr>
    </w:p>
    <w:p w14:paraId="3537EE6E" w14:textId="281DD090" w:rsidR="00ED352B" w:rsidRPr="001B6BA8" w:rsidRDefault="00ED352B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1B6BA8">
        <w:rPr>
          <w:rFonts w:eastAsia="Calibri"/>
        </w:rPr>
        <w:t xml:space="preserve">All Rapid DNA </w:t>
      </w:r>
      <w:r w:rsidR="001B6BA8">
        <w:rPr>
          <w:rFonts w:eastAsia="Calibri"/>
        </w:rPr>
        <w:t>o</w:t>
      </w:r>
      <w:r w:rsidRPr="001B6BA8">
        <w:rPr>
          <w:rFonts w:eastAsia="Calibri"/>
        </w:rPr>
        <w:t xml:space="preserve">perators shall complete a proficiency test after completing initial training and every six months thereafter.  </w:t>
      </w:r>
    </w:p>
    <w:p w14:paraId="60AEFE2F" w14:textId="77777777" w:rsidR="001B6BA8" w:rsidRDefault="001B6BA8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024FA322" w14:textId="77777777" w:rsidR="001B6BA8" w:rsidRDefault="001B6BA8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4BE8A49B" w14:textId="77777777" w:rsidR="001B6BA8" w:rsidRDefault="001B6BA8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224DB1B9" w14:textId="77777777" w:rsidR="00ED352B" w:rsidRDefault="00ED352B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5331F8BF" w14:textId="77777777" w:rsidR="00ED352B" w:rsidRDefault="00ED352B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5E0BBFC7" w14:textId="77777777" w:rsidR="00ED352B" w:rsidRDefault="00ED352B" w:rsidP="00ED352B">
      <w:pPr>
        <w:spacing w:after="160" w:line="360" w:lineRule="auto"/>
        <w:contextualSpacing/>
        <w:jc w:val="both"/>
        <w:rPr>
          <w:rFonts w:eastAsia="Calibri"/>
        </w:rPr>
      </w:pPr>
    </w:p>
    <w:sectPr w:rsidR="00ED35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B2F"/>
    <w:multiLevelType w:val="hybridMultilevel"/>
    <w:tmpl w:val="ACA00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1625"/>
    <w:multiLevelType w:val="hybridMultilevel"/>
    <w:tmpl w:val="AD32E3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35"/>
    <w:multiLevelType w:val="hybridMultilevel"/>
    <w:tmpl w:val="371C9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71726"/>
    <w:multiLevelType w:val="hybridMultilevel"/>
    <w:tmpl w:val="885A8DF8"/>
    <w:lvl w:ilvl="0" w:tplc="D1B4A444">
      <w:numFmt w:val="bullet"/>
      <w:lvlText w:val="•"/>
      <w:lvlJc w:val="left"/>
      <w:pPr>
        <w:ind w:left="714" w:hanging="444"/>
      </w:pPr>
      <w:rPr>
        <w:rFonts w:ascii="Times New Roman" w:eastAsia="Calibri" w:hAnsi="Times New Roman" w:cs="Times New Roman" w:hint="default"/>
      </w:rPr>
    </w:lvl>
    <w:lvl w:ilvl="1" w:tplc="0ACA2BA4">
      <w:numFmt w:val="bullet"/>
      <w:lvlText w:val=""/>
      <w:lvlJc w:val="left"/>
      <w:pPr>
        <w:ind w:left="1434" w:hanging="444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9B302A7"/>
    <w:multiLevelType w:val="hybridMultilevel"/>
    <w:tmpl w:val="FEC0B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9405B"/>
    <w:multiLevelType w:val="hybridMultilevel"/>
    <w:tmpl w:val="4D74E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6CF9"/>
    <w:multiLevelType w:val="hybridMultilevel"/>
    <w:tmpl w:val="9DAA1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9176A"/>
    <w:multiLevelType w:val="hybridMultilevel"/>
    <w:tmpl w:val="C1A69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9187A"/>
    <w:multiLevelType w:val="hybridMultilevel"/>
    <w:tmpl w:val="55C0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3129"/>
    <w:multiLevelType w:val="hybridMultilevel"/>
    <w:tmpl w:val="72128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D31BE"/>
    <w:multiLevelType w:val="hybridMultilevel"/>
    <w:tmpl w:val="ED8256C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6050161"/>
    <w:multiLevelType w:val="hybridMultilevel"/>
    <w:tmpl w:val="D42C2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5485A7E">
      <w:start w:val="3"/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81F3B"/>
    <w:multiLevelType w:val="hybridMultilevel"/>
    <w:tmpl w:val="88E41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D0F93"/>
    <w:multiLevelType w:val="hybridMultilevel"/>
    <w:tmpl w:val="45AAE9D8"/>
    <w:lvl w:ilvl="0" w:tplc="D1B4A444">
      <w:numFmt w:val="bullet"/>
      <w:lvlText w:val="•"/>
      <w:lvlJc w:val="left"/>
      <w:pPr>
        <w:ind w:left="1704" w:hanging="444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63127114"/>
    <w:multiLevelType w:val="hybridMultilevel"/>
    <w:tmpl w:val="82628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575A7"/>
    <w:multiLevelType w:val="hybridMultilevel"/>
    <w:tmpl w:val="A036DE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40978"/>
    <w:multiLevelType w:val="hybridMultilevel"/>
    <w:tmpl w:val="E4D45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5A5"/>
    <w:multiLevelType w:val="hybridMultilevel"/>
    <w:tmpl w:val="FCB08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861497"/>
    <w:multiLevelType w:val="hybridMultilevel"/>
    <w:tmpl w:val="4B068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40075"/>
    <w:multiLevelType w:val="hybridMultilevel"/>
    <w:tmpl w:val="584CC4C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245262163">
    <w:abstractNumId w:val="17"/>
  </w:num>
  <w:num w:numId="2" w16cid:durableId="1312444232">
    <w:abstractNumId w:val="9"/>
  </w:num>
  <w:num w:numId="3" w16cid:durableId="1639070157">
    <w:abstractNumId w:val="10"/>
  </w:num>
  <w:num w:numId="4" w16cid:durableId="480969383">
    <w:abstractNumId w:val="3"/>
  </w:num>
  <w:num w:numId="5" w16cid:durableId="764764341">
    <w:abstractNumId w:val="13"/>
  </w:num>
  <w:num w:numId="6" w16cid:durableId="1118841664">
    <w:abstractNumId w:val="19"/>
  </w:num>
  <w:num w:numId="7" w16cid:durableId="767772129">
    <w:abstractNumId w:val="1"/>
  </w:num>
  <w:num w:numId="8" w16cid:durableId="214967971">
    <w:abstractNumId w:val="18"/>
  </w:num>
  <w:num w:numId="9" w16cid:durableId="967973201">
    <w:abstractNumId w:val="15"/>
  </w:num>
  <w:num w:numId="10" w16cid:durableId="1481144278">
    <w:abstractNumId w:val="2"/>
  </w:num>
  <w:num w:numId="11" w16cid:durableId="940453652">
    <w:abstractNumId w:val="11"/>
  </w:num>
  <w:num w:numId="12" w16cid:durableId="1931813647">
    <w:abstractNumId w:val="6"/>
  </w:num>
  <w:num w:numId="13" w16cid:durableId="1249535573">
    <w:abstractNumId w:val="4"/>
  </w:num>
  <w:num w:numId="14" w16cid:durableId="588661875">
    <w:abstractNumId w:val="14"/>
  </w:num>
  <w:num w:numId="15" w16cid:durableId="764881683">
    <w:abstractNumId w:val="7"/>
  </w:num>
  <w:num w:numId="16" w16cid:durableId="1745565339">
    <w:abstractNumId w:val="0"/>
  </w:num>
  <w:num w:numId="17" w16cid:durableId="1527988237">
    <w:abstractNumId w:val="16"/>
  </w:num>
  <w:num w:numId="18" w16cid:durableId="325404160">
    <w:abstractNumId w:val="8"/>
  </w:num>
  <w:num w:numId="19" w16cid:durableId="407385710">
    <w:abstractNumId w:val="12"/>
  </w:num>
  <w:num w:numId="20" w16cid:durableId="3194263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8F"/>
    <w:rsid w:val="001411E9"/>
    <w:rsid w:val="0019187E"/>
    <w:rsid w:val="001B6BA8"/>
    <w:rsid w:val="001E21B3"/>
    <w:rsid w:val="00222383"/>
    <w:rsid w:val="00286CE9"/>
    <w:rsid w:val="00416943"/>
    <w:rsid w:val="004C766F"/>
    <w:rsid w:val="005205F2"/>
    <w:rsid w:val="00534659"/>
    <w:rsid w:val="005468B3"/>
    <w:rsid w:val="005C5386"/>
    <w:rsid w:val="006017E3"/>
    <w:rsid w:val="0061223D"/>
    <w:rsid w:val="006D52E5"/>
    <w:rsid w:val="00710E8F"/>
    <w:rsid w:val="007B531A"/>
    <w:rsid w:val="008417E8"/>
    <w:rsid w:val="00866C2C"/>
    <w:rsid w:val="008A3748"/>
    <w:rsid w:val="009D60E1"/>
    <w:rsid w:val="009F1236"/>
    <w:rsid w:val="00A00056"/>
    <w:rsid w:val="00A25C34"/>
    <w:rsid w:val="00AD2052"/>
    <w:rsid w:val="00B227A9"/>
    <w:rsid w:val="00B63830"/>
    <w:rsid w:val="00BC32A2"/>
    <w:rsid w:val="00BF21CF"/>
    <w:rsid w:val="00D220C5"/>
    <w:rsid w:val="00DE0AC8"/>
    <w:rsid w:val="00ED3457"/>
    <w:rsid w:val="00ED352B"/>
    <w:rsid w:val="00FC7AD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2AD29"/>
  <w15:docId w15:val="{AAFD09A8-E1BD-499D-B9FB-538C402A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A3D299-CCA9-4131-9459-B6CCFAB17533}">
  <ds:schemaRefs>
    <ds:schemaRef ds:uri="http://purl.org/dc/elements/1.1/"/>
    <ds:schemaRef ds:uri="8416942f-d982-4ba4-a5b0-104826b4be24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ef27eb8-0e3d-496f-b523-771757bdd77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205764-7FD5-47F7-B617-75B37884F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F77F3-56CB-411D-BDF7-D9A29D833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Charleston County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Ritter-Peacock</dc:creator>
  <cp:keywords/>
  <dc:description/>
  <cp:lastModifiedBy>Chisholm, Yujiemi</cp:lastModifiedBy>
  <cp:revision>2</cp:revision>
  <dcterms:created xsi:type="dcterms:W3CDTF">2025-06-02T11:14:00Z</dcterms:created>
  <dcterms:modified xsi:type="dcterms:W3CDTF">2025-06-02T11:14:00Z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