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48F337" w14:textId="77777777" w:rsidR="00BE2F4F" w:rsidRPr="002C4525" w:rsidRDefault="00BE2F4F" w:rsidP="00BE2F4F">
      <w:pPr>
        <w:tabs>
          <w:tab w:val="left" w:pos="432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</w:rPr>
        <w:t xml:space="preserve">EFFECTIVE:  </w:t>
      </w:r>
      <w:r w:rsidRPr="005C132A">
        <w:rPr>
          <w:rFonts w:ascii="Arial" w:hAnsi="Arial" w:cs="Arial"/>
          <w:b/>
          <w:sz w:val="22"/>
          <w:szCs w:val="22"/>
        </w:rPr>
        <w:t>Immediately</w:t>
      </w:r>
      <w:r>
        <w:rPr>
          <w:rFonts w:ascii="Arial" w:hAnsi="Arial" w:cs="Arial"/>
          <w:b/>
          <w:bCs/>
          <w:sz w:val="22"/>
        </w:rPr>
        <w:tab/>
        <w:t xml:space="preserve">                                  </w:t>
      </w:r>
      <w:r>
        <w:rPr>
          <w:rFonts w:ascii="Arial" w:hAnsi="Arial" w:cs="Arial"/>
          <w:b/>
          <w:bCs/>
        </w:rPr>
        <w:t xml:space="preserve"> Updated: </w:t>
      </w:r>
      <w:r w:rsidR="00983FA3">
        <w:rPr>
          <w:rFonts w:ascii="Arial" w:hAnsi="Arial" w:cs="Arial"/>
          <w:b/>
          <w:bCs/>
        </w:rPr>
        <w:t>Feb, 2020</w:t>
      </w:r>
    </w:p>
    <w:tbl>
      <w:tblPr>
        <w:tblW w:w="9360" w:type="dxa"/>
        <w:tblLook w:val="0000" w:firstRow="0" w:lastRow="0" w:firstColumn="0" w:lastColumn="0" w:noHBand="0" w:noVBand="0"/>
      </w:tblPr>
      <w:tblGrid>
        <w:gridCol w:w="1696"/>
        <w:gridCol w:w="7664"/>
      </w:tblGrid>
      <w:tr w:rsidR="00BE2F4F" w14:paraId="206A09D0" w14:textId="77777777" w:rsidTr="00E901BD">
        <w:trPr>
          <w:trHeight w:val="261"/>
        </w:trPr>
        <w:tc>
          <w:tcPr>
            <w:tcW w:w="1696" w:type="dxa"/>
          </w:tcPr>
          <w:p w14:paraId="12A74E57" w14:textId="77777777" w:rsidR="00BE2F4F" w:rsidRDefault="00BE2F4F" w:rsidP="00E901BD">
            <w:pPr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7664" w:type="dxa"/>
          </w:tcPr>
          <w:p w14:paraId="37750C6A" w14:textId="77777777" w:rsidR="00BE2F4F" w:rsidRDefault="00BE2F4F" w:rsidP="00E901BD">
            <w:pPr>
              <w:rPr>
                <w:rFonts w:ascii="Arial" w:hAnsi="Arial" w:cs="Arial"/>
                <w:b/>
                <w:bCs/>
                <w:sz w:val="22"/>
              </w:rPr>
            </w:pPr>
          </w:p>
        </w:tc>
      </w:tr>
      <w:tr w:rsidR="00BE2F4F" w14:paraId="117AE74B" w14:textId="77777777" w:rsidTr="00E901BD">
        <w:trPr>
          <w:trHeight w:val="549"/>
        </w:trPr>
        <w:tc>
          <w:tcPr>
            <w:tcW w:w="1696" w:type="dxa"/>
          </w:tcPr>
          <w:p w14:paraId="1F073918" w14:textId="77777777" w:rsidR="00BE2F4F" w:rsidRDefault="00BE2F4F" w:rsidP="00E901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PURPOSE:</w:t>
            </w:r>
          </w:p>
          <w:p w14:paraId="732620F6" w14:textId="77777777" w:rsidR="00BE2F4F" w:rsidRDefault="00BE2F4F" w:rsidP="00E901B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664" w:type="dxa"/>
          </w:tcPr>
          <w:p w14:paraId="18CB7601" w14:textId="77777777" w:rsidR="00BE2F4F" w:rsidRDefault="00BE2F4F" w:rsidP="00E901BD">
            <w:p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To appropriately determine when an autopsy or other forensic exam is needed.</w:t>
            </w:r>
          </w:p>
          <w:p w14:paraId="507AC8EC" w14:textId="77777777" w:rsidR="00BE2F4F" w:rsidRPr="00050C1E" w:rsidRDefault="00BE2F4F" w:rsidP="00E901BD">
            <w:pPr>
              <w:jc w:val="both"/>
              <w:rPr>
                <w:rFonts w:ascii="Arial" w:hAnsi="Arial"/>
                <w:sz w:val="20"/>
              </w:rPr>
            </w:pPr>
          </w:p>
        </w:tc>
      </w:tr>
      <w:tr w:rsidR="00BE2F4F" w14:paraId="042FA1B8" w14:textId="77777777" w:rsidTr="00E901BD">
        <w:tc>
          <w:tcPr>
            <w:tcW w:w="1696" w:type="dxa"/>
          </w:tcPr>
          <w:p w14:paraId="3307EEC1" w14:textId="77777777" w:rsidR="00BE2F4F" w:rsidRDefault="00BE2F4F" w:rsidP="00E901B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SCOPE:</w:t>
            </w:r>
          </w:p>
          <w:p w14:paraId="525F3908" w14:textId="77777777" w:rsidR="00BE2F4F" w:rsidRDefault="00BE2F4F" w:rsidP="00E901B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664" w:type="dxa"/>
          </w:tcPr>
          <w:p w14:paraId="2A1BB65C" w14:textId="77777777" w:rsidR="00BE2F4F" w:rsidRPr="001F4550" w:rsidRDefault="00BE2F4F" w:rsidP="00E901B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This guideline applies to sworn PCCO personnel.</w:t>
            </w:r>
          </w:p>
        </w:tc>
      </w:tr>
      <w:tr w:rsidR="00BE2F4F" w14:paraId="126C21E1" w14:textId="77777777" w:rsidTr="00E901BD">
        <w:tc>
          <w:tcPr>
            <w:tcW w:w="1696" w:type="dxa"/>
          </w:tcPr>
          <w:p w14:paraId="325BCF76" w14:textId="77777777" w:rsidR="00BE2F4F" w:rsidRDefault="00BE2F4F" w:rsidP="00E901BD">
            <w:pPr>
              <w:jc w:val="both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b/>
                <w:bCs/>
              </w:rPr>
              <w:t>GUIDELINE:</w:t>
            </w:r>
          </w:p>
          <w:p w14:paraId="07329D84" w14:textId="77777777" w:rsidR="00BE2F4F" w:rsidRDefault="00BE2F4F" w:rsidP="00E901BD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664" w:type="dxa"/>
          </w:tcPr>
          <w:p w14:paraId="3BD1748B" w14:textId="77777777" w:rsidR="00BE2F4F" w:rsidRDefault="00BE2F4F" w:rsidP="00E901BD">
            <w:pPr>
              <w:pStyle w:val="BodyText"/>
              <w:ind w:left="-76"/>
              <w:rPr>
                <w:sz w:val="20"/>
              </w:rPr>
            </w:pPr>
            <w:r>
              <w:rPr>
                <w:sz w:val="20"/>
              </w:rPr>
              <w:t>Colorado revised Statute 30-10-601.6 will be applicable in this guideline.</w:t>
            </w:r>
          </w:p>
          <w:p w14:paraId="6D70DD0C" w14:textId="77777777" w:rsidR="00BE2F4F" w:rsidRDefault="00BE2F4F" w:rsidP="00E901BD">
            <w:pPr>
              <w:ind w:left="-76"/>
              <w:jc w:val="both"/>
              <w:rPr>
                <w:rFonts w:ascii="Arial" w:hAnsi="Arial"/>
                <w:sz w:val="20"/>
              </w:rPr>
            </w:pPr>
          </w:p>
          <w:p w14:paraId="1DDD0C6C" w14:textId="77777777" w:rsidR="00BE2F4F" w:rsidRDefault="00BE2F4F" w:rsidP="00E901BD">
            <w:pPr>
              <w:ind w:left="-76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1.</w:t>
            </w:r>
            <w:r>
              <w:rPr>
                <w:rFonts w:ascii="Arial" w:hAnsi="Arial"/>
                <w:sz w:val="20"/>
              </w:rPr>
              <w:tab/>
              <w:t>DETERMINE if the case needs an autopsy by judging the following categories.</w:t>
            </w:r>
          </w:p>
          <w:p w14:paraId="443256D6" w14:textId="77777777" w:rsidR="00BE2F4F" w:rsidRDefault="00BE2F4F" w:rsidP="00E901BD">
            <w:pPr>
              <w:ind w:left="-76"/>
              <w:jc w:val="both"/>
              <w:rPr>
                <w:rFonts w:ascii="Arial" w:hAnsi="Arial"/>
                <w:sz w:val="20"/>
              </w:rPr>
            </w:pPr>
          </w:p>
          <w:p w14:paraId="5A3A3425" w14:textId="77777777" w:rsidR="00BE2F4F" w:rsidRDefault="00BE2F4F" w:rsidP="00E901BD">
            <w:pPr>
              <w:ind w:left="644" w:hanging="360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a)  Death due to motor vehicle accident.</w:t>
            </w:r>
          </w:p>
          <w:p w14:paraId="05EF5892" w14:textId="77777777" w:rsidR="00BE2F4F" w:rsidRDefault="00BE2F4F" w:rsidP="00E901BD">
            <w:pPr>
              <w:ind w:left="644" w:hanging="360"/>
              <w:jc w:val="both"/>
              <w:rPr>
                <w:rFonts w:ascii="Arial" w:hAnsi="Arial"/>
                <w:sz w:val="20"/>
              </w:rPr>
            </w:pPr>
          </w:p>
          <w:p w14:paraId="4A258672" w14:textId="77777777" w:rsidR="00BE2F4F" w:rsidRDefault="00BE2F4F" w:rsidP="00E901BD">
            <w:pPr>
              <w:ind w:left="644" w:hanging="540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b)  Death suspected as homicide or unknown violent cause.</w:t>
            </w:r>
          </w:p>
          <w:p w14:paraId="1CA3A01A" w14:textId="77777777" w:rsidR="00BE2F4F" w:rsidRDefault="00BE2F4F" w:rsidP="00E901BD">
            <w:pPr>
              <w:ind w:left="644" w:hanging="540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</w:t>
            </w:r>
          </w:p>
          <w:p w14:paraId="4C41D35F" w14:textId="77777777" w:rsidR="00BE2F4F" w:rsidRDefault="00BE2F4F" w:rsidP="00E901BD">
            <w:pPr>
              <w:ind w:left="644" w:hanging="540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c)  Death involving any police or correctional action.</w:t>
            </w:r>
          </w:p>
          <w:p w14:paraId="1456B9C2" w14:textId="77777777" w:rsidR="00BE2F4F" w:rsidRDefault="00BE2F4F" w:rsidP="00E901BD">
            <w:pPr>
              <w:ind w:left="644" w:hanging="540"/>
              <w:jc w:val="both"/>
              <w:rPr>
                <w:rFonts w:ascii="Arial" w:hAnsi="Arial"/>
                <w:sz w:val="20"/>
              </w:rPr>
            </w:pPr>
          </w:p>
          <w:p w14:paraId="5E20FD93" w14:textId="77777777" w:rsidR="00BE2F4F" w:rsidRDefault="00BE2F4F" w:rsidP="00E901BD">
            <w:pPr>
              <w:ind w:left="644" w:hanging="540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d) Death involving fire.</w:t>
            </w:r>
          </w:p>
          <w:p w14:paraId="32ACCFCA" w14:textId="77777777" w:rsidR="00BE2F4F" w:rsidRDefault="00BE2F4F" w:rsidP="00E901BD">
            <w:pPr>
              <w:ind w:left="644" w:hanging="540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</w:t>
            </w:r>
          </w:p>
          <w:p w14:paraId="2AAC34A0" w14:textId="77777777" w:rsidR="00BE2F4F" w:rsidRDefault="00BE2F4F" w:rsidP="00E901BD">
            <w:pPr>
              <w:ind w:left="644" w:hanging="540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e) Death involving a body of water.</w:t>
            </w:r>
          </w:p>
          <w:p w14:paraId="2B6BB977" w14:textId="77777777" w:rsidR="00BE2F4F" w:rsidRDefault="00BE2F4F" w:rsidP="00E901BD">
            <w:pPr>
              <w:ind w:left="644" w:hanging="540"/>
              <w:jc w:val="both"/>
              <w:rPr>
                <w:rFonts w:ascii="Arial" w:hAnsi="Arial"/>
                <w:sz w:val="20"/>
              </w:rPr>
            </w:pPr>
          </w:p>
          <w:p w14:paraId="5EB6CDD0" w14:textId="77777777" w:rsidR="00BE2F4F" w:rsidRDefault="00BE2F4F" w:rsidP="00E901BD">
            <w:pPr>
              <w:ind w:left="644" w:hanging="540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f) Death involving a child that is unexpected or unexplained.</w:t>
            </w:r>
          </w:p>
          <w:p w14:paraId="26029E9F" w14:textId="77777777" w:rsidR="00BE2F4F" w:rsidRDefault="00BE2F4F" w:rsidP="00E901BD">
            <w:pPr>
              <w:ind w:left="644" w:hanging="540"/>
              <w:jc w:val="both"/>
              <w:rPr>
                <w:rFonts w:ascii="Arial" w:hAnsi="Arial"/>
                <w:sz w:val="20"/>
              </w:rPr>
            </w:pPr>
          </w:p>
          <w:p w14:paraId="4D8C0F7B" w14:textId="77777777" w:rsidR="00BE2F4F" w:rsidRDefault="00BE2F4F" w:rsidP="00E901BD">
            <w:pPr>
              <w:ind w:left="644" w:hanging="540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g) Death involving suspected overdose.</w:t>
            </w:r>
          </w:p>
          <w:p w14:paraId="113AB3BC" w14:textId="77777777" w:rsidR="00BE2F4F" w:rsidRDefault="00BE2F4F" w:rsidP="00E901BD">
            <w:pPr>
              <w:ind w:left="644" w:hanging="540"/>
              <w:jc w:val="both"/>
              <w:rPr>
                <w:rFonts w:ascii="Arial" w:hAnsi="Arial"/>
                <w:sz w:val="20"/>
              </w:rPr>
            </w:pPr>
          </w:p>
          <w:p w14:paraId="140DE2CE" w14:textId="77777777" w:rsidR="00BE2F4F" w:rsidRDefault="00BE2F4F" w:rsidP="00E901BD">
            <w:pPr>
              <w:ind w:left="644" w:hanging="540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h) Death where pathology cannot be identified through medical history or scene investigation.</w:t>
            </w:r>
          </w:p>
          <w:p w14:paraId="73C2B274" w14:textId="77777777" w:rsidR="00BE2F4F" w:rsidRDefault="00BE2F4F" w:rsidP="00E901BD">
            <w:pPr>
              <w:ind w:left="644" w:hanging="540"/>
              <w:jc w:val="both"/>
              <w:rPr>
                <w:rFonts w:ascii="Arial" w:hAnsi="Arial"/>
                <w:sz w:val="20"/>
              </w:rPr>
            </w:pPr>
          </w:p>
          <w:p w14:paraId="0F450022" w14:textId="77777777" w:rsidR="00BE2F4F" w:rsidRDefault="00BE2F4F" w:rsidP="00BE2F4F">
            <w:pPr>
              <w:numPr>
                <w:ilvl w:val="0"/>
                <w:numId w:val="1"/>
              </w:num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Death where the deceased i</w:t>
            </w:r>
            <w:r w:rsidR="00C0266C">
              <w:rPr>
                <w:rFonts w:ascii="Arial" w:hAnsi="Arial"/>
                <w:sz w:val="20"/>
              </w:rPr>
              <w:t>s</w:t>
            </w:r>
            <w:r>
              <w:rPr>
                <w:rFonts w:ascii="Arial" w:hAnsi="Arial"/>
                <w:sz w:val="20"/>
              </w:rPr>
              <w:t xml:space="preserve"> severely decomposed.</w:t>
            </w:r>
          </w:p>
          <w:p w14:paraId="6522D2B8" w14:textId="77777777" w:rsidR="00BE2F4F" w:rsidRDefault="00BE2F4F" w:rsidP="00E901BD">
            <w:pPr>
              <w:jc w:val="both"/>
              <w:rPr>
                <w:rFonts w:ascii="Arial" w:hAnsi="Arial"/>
                <w:sz w:val="20"/>
              </w:rPr>
            </w:pPr>
          </w:p>
          <w:p w14:paraId="03FAC9CB" w14:textId="77777777" w:rsidR="00BE2F4F" w:rsidRDefault="00BE2F4F" w:rsidP="00CB7774">
            <w:p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J)   Death where sexual assault is suspected.  Sane Kit shall be collected as evidence.</w:t>
            </w:r>
          </w:p>
          <w:p w14:paraId="471C2845" w14:textId="77777777" w:rsidR="00BE2F4F" w:rsidRDefault="00BE2F4F" w:rsidP="00E901BD">
            <w:pPr>
              <w:ind w:left="-76"/>
              <w:jc w:val="both"/>
              <w:rPr>
                <w:rFonts w:ascii="Arial" w:hAnsi="Arial"/>
                <w:sz w:val="20"/>
              </w:rPr>
            </w:pPr>
          </w:p>
          <w:p w14:paraId="1E41A966" w14:textId="77777777" w:rsidR="00BE2F4F" w:rsidRDefault="00BE2F4F" w:rsidP="00E901BD">
            <w:pPr>
              <w:ind w:left="-76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</w:t>
            </w:r>
            <w:r>
              <w:rPr>
                <w:rFonts w:ascii="Arial" w:hAnsi="Arial"/>
                <w:sz w:val="20"/>
              </w:rPr>
              <w:tab/>
              <w:t>FORENSIC EXAMS other than autopsies shall be performed on the following cases.</w:t>
            </w:r>
          </w:p>
          <w:p w14:paraId="580C68B9" w14:textId="77777777" w:rsidR="00BE2F4F" w:rsidRDefault="00BE2F4F" w:rsidP="00E901BD">
            <w:pPr>
              <w:ind w:left="-76"/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        </w:t>
            </w:r>
          </w:p>
          <w:p w14:paraId="6F1A63A9" w14:textId="77777777" w:rsidR="00BE2F4F" w:rsidRDefault="00BE2F4F" w:rsidP="00BE2F4F">
            <w:pPr>
              <w:numPr>
                <w:ilvl w:val="0"/>
                <w:numId w:val="2"/>
              </w:num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Skeletal remains shall be examined by a Forensic Anthropologist.</w:t>
            </w:r>
          </w:p>
          <w:p w14:paraId="626E3E28" w14:textId="77777777" w:rsidR="00BE2F4F" w:rsidRDefault="00BE2F4F" w:rsidP="00E901BD">
            <w:pPr>
              <w:ind w:left="764"/>
              <w:jc w:val="both"/>
              <w:rPr>
                <w:rFonts w:ascii="Arial" w:hAnsi="Arial"/>
                <w:sz w:val="20"/>
              </w:rPr>
            </w:pPr>
          </w:p>
          <w:p w14:paraId="3A5376CC" w14:textId="77777777" w:rsidR="00BE2F4F" w:rsidRDefault="00BE2F4F" w:rsidP="00BE2F4F">
            <w:pPr>
              <w:numPr>
                <w:ilvl w:val="0"/>
                <w:numId w:val="2"/>
              </w:num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Cases where cause is not thought to be overdosing however circumstances may involve drugs, CO, or alcohol shall have fluids drawn and sent to </w:t>
            </w:r>
            <w:r w:rsidR="003976FF">
              <w:rPr>
                <w:rFonts w:ascii="Arial" w:hAnsi="Arial"/>
                <w:sz w:val="20"/>
              </w:rPr>
              <w:t>o</w:t>
            </w:r>
            <w:r w:rsidR="002166D3">
              <w:rPr>
                <w:rFonts w:ascii="Arial" w:hAnsi="Arial"/>
                <w:sz w:val="20"/>
              </w:rPr>
              <w:t>ur current nationally certified lab,</w:t>
            </w:r>
            <w:r>
              <w:rPr>
                <w:rFonts w:ascii="Arial" w:hAnsi="Arial"/>
                <w:sz w:val="20"/>
              </w:rPr>
              <w:t xml:space="preserve"> following toxicology guideline. </w:t>
            </w:r>
          </w:p>
          <w:p w14:paraId="2F014A06" w14:textId="77777777" w:rsidR="00983FA3" w:rsidRDefault="00983FA3" w:rsidP="00983FA3">
            <w:pPr>
              <w:pStyle w:val="ListParagraph"/>
              <w:rPr>
                <w:rFonts w:ascii="Arial" w:hAnsi="Arial"/>
                <w:sz w:val="20"/>
              </w:rPr>
            </w:pPr>
          </w:p>
          <w:p w14:paraId="5F81A0D1" w14:textId="77777777" w:rsidR="00983FA3" w:rsidRDefault="00983FA3" w:rsidP="00BE2F4F">
            <w:pPr>
              <w:numPr>
                <w:ilvl w:val="0"/>
                <w:numId w:val="2"/>
              </w:num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All Autopsies shall be conducted by a Board Certified Forensic Pathologist per state law unless for unique research related cases.</w:t>
            </w:r>
          </w:p>
          <w:p w14:paraId="0B036D90" w14:textId="77777777" w:rsidR="00BE2F4F" w:rsidRDefault="00BE2F4F" w:rsidP="00E901BD">
            <w:pPr>
              <w:pStyle w:val="ListParagraph"/>
              <w:rPr>
                <w:rFonts w:ascii="Arial" w:hAnsi="Arial"/>
                <w:sz w:val="20"/>
              </w:rPr>
            </w:pPr>
          </w:p>
          <w:p w14:paraId="1D8ED58D" w14:textId="77777777" w:rsidR="00BE2F4F" w:rsidRDefault="00BE2F4F" w:rsidP="00CB7774">
            <w:pPr>
              <w:jc w:val="both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3.          PARTIAL autopsies shall not be conducted unless the Forensic Pathologist            determines it necessary </w:t>
            </w:r>
            <w:r w:rsidR="0073590B">
              <w:rPr>
                <w:rFonts w:ascii="Arial" w:hAnsi="Arial"/>
                <w:sz w:val="20"/>
              </w:rPr>
              <w:t xml:space="preserve">due to an </w:t>
            </w:r>
            <w:r>
              <w:rPr>
                <w:rFonts w:ascii="Arial" w:hAnsi="Arial"/>
                <w:sz w:val="20"/>
              </w:rPr>
              <w:t xml:space="preserve">unique cases. </w:t>
            </w:r>
          </w:p>
          <w:p w14:paraId="0BA34A75" w14:textId="77777777" w:rsidR="00BE2F4F" w:rsidRPr="001F4550" w:rsidRDefault="00BE2F4F" w:rsidP="00E901BD">
            <w:pPr>
              <w:jc w:val="both"/>
              <w:rPr>
                <w:rFonts w:cs="Arial"/>
                <w:sz w:val="20"/>
              </w:rPr>
            </w:pPr>
          </w:p>
        </w:tc>
      </w:tr>
      <w:tr w:rsidR="00BE2F4F" w14:paraId="4F17340C" w14:textId="77777777" w:rsidTr="00E901BD">
        <w:tc>
          <w:tcPr>
            <w:tcW w:w="1696" w:type="dxa"/>
          </w:tcPr>
          <w:p w14:paraId="595C7121" w14:textId="77777777" w:rsidR="00BE2F4F" w:rsidRDefault="00BE2F4F" w:rsidP="00E901BD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664" w:type="dxa"/>
          </w:tcPr>
          <w:p w14:paraId="4A6CE843" w14:textId="77777777" w:rsidR="00BE2F4F" w:rsidRPr="00F80A91" w:rsidRDefault="00BE2F4F" w:rsidP="00E901BD">
            <w:pPr>
              <w:pStyle w:val="BodyText"/>
              <w:ind w:left="-76"/>
              <w:rPr>
                <w:rFonts w:cs="Arial"/>
                <w:sz w:val="20"/>
              </w:rPr>
            </w:pPr>
          </w:p>
        </w:tc>
      </w:tr>
    </w:tbl>
    <w:p w14:paraId="483484CE" w14:textId="77777777" w:rsidR="00BE2F4F" w:rsidRDefault="00BE2F4F" w:rsidP="00BE2F4F">
      <w:pPr>
        <w:rPr>
          <w:rFonts w:ascii="Arial" w:hAnsi="Arial" w:cs="Arial"/>
          <w:sz w:val="20"/>
        </w:rPr>
      </w:pPr>
    </w:p>
    <w:p w14:paraId="21D7A183" w14:textId="77777777" w:rsidR="00BE2F4F" w:rsidRDefault="00BE2F4F" w:rsidP="00BE2F4F">
      <w:pPr>
        <w:tabs>
          <w:tab w:val="left" w:pos="5760"/>
        </w:tabs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Approved by:  David E Kintz Jr</w:t>
      </w:r>
      <w:r>
        <w:rPr>
          <w:rFonts w:ascii="Arial" w:hAnsi="Arial" w:cs="Arial"/>
          <w:sz w:val="16"/>
        </w:rPr>
        <w:tab/>
      </w:r>
    </w:p>
    <w:p w14:paraId="685BEDC9" w14:textId="77777777" w:rsidR="005711D4" w:rsidRPr="00BE2F4F" w:rsidRDefault="00BE2F4F" w:rsidP="00BE2F4F">
      <w:pPr>
        <w:tabs>
          <w:tab w:val="left" w:pos="1440"/>
        </w:tabs>
        <w:rPr>
          <w:rFonts w:ascii="Arial" w:hAnsi="Arial" w:cs="Arial"/>
          <w:sz w:val="16"/>
        </w:rPr>
      </w:pPr>
      <w:r>
        <w:rPr>
          <w:sz w:val="16"/>
        </w:rPr>
        <w:tab/>
      </w:r>
      <w:r>
        <w:rPr>
          <w:rFonts w:ascii="Arial" w:hAnsi="Arial" w:cs="Arial"/>
          <w:sz w:val="16"/>
        </w:rPr>
        <w:t>Park County Coroner</w:t>
      </w:r>
    </w:p>
    <w:sectPr w:rsidR="005711D4" w:rsidRPr="00BE2F4F" w:rsidSect="00BC7F02">
      <w:headerReference w:type="default" r:id="rId10"/>
      <w:footerReference w:type="default" r:id="rId11"/>
      <w:pgSz w:w="12240" w:h="15840" w:code="1"/>
      <w:pgMar w:top="2371" w:right="1440" w:bottom="1080" w:left="1440" w:header="90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07E29" w14:textId="77777777" w:rsidR="00E31543" w:rsidRDefault="0073590B">
      <w:r>
        <w:separator/>
      </w:r>
    </w:p>
  </w:endnote>
  <w:endnote w:type="continuationSeparator" w:id="0">
    <w:p w14:paraId="1B74C0EA" w14:textId="77777777" w:rsidR="00E31543" w:rsidRDefault="00735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061AB" w14:textId="77777777" w:rsidR="001815FE" w:rsidRDefault="00BE2F4F">
    <w:pPr>
      <w:pStyle w:val="Footer"/>
      <w:jc w:val="center"/>
    </w:pPr>
    <w:r>
      <w:rPr>
        <w:rStyle w:val="PageNumber"/>
      </w:rP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83FA3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983FA3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FCF89" w14:textId="77777777" w:rsidR="00E31543" w:rsidRDefault="0073590B">
      <w:r>
        <w:separator/>
      </w:r>
    </w:p>
  </w:footnote>
  <w:footnote w:type="continuationSeparator" w:id="0">
    <w:p w14:paraId="2D19A29F" w14:textId="77777777" w:rsidR="00E31543" w:rsidRDefault="007359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7F225" w14:textId="77777777" w:rsidR="001815FE" w:rsidRDefault="00BE2F4F">
    <w:pPr>
      <w:pStyle w:val="Title"/>
      <w:rPr>
        <w:sz w:val="22"/>
      </w:rPr>
    </w:pPr>
    <w:smartTag w:uri="urn:schemas-microsoft-com:office:smarttags" w:element="place">
      <w:smartTag w:uri="urn:schemas-microsoft-com:office:smarttags" w:element="PlaceType">
        <w:r>
          <w:rPr>
            <w:sz w:val="22"/>
          </w:rPr>
          <w:t>Park</w:t>
        </w:r>
      </w:smartTag>
      <w:r>
        <w:rPr>
          <w:sz w:val="22"/>
        </w:rPr>
        <w:t xml:space="preserve"> </w:t>
      </w:r>
      <w:smartTag w:uri="urn:schemas-microsoft-com:office:smarttags" w:element="PlaceType">
        <w:r>
          <w:rPr>
            <w:sz w:val="22"/>
          </w:rPr>
          <w:t>County</w:t>
        </w:r>
      </w:smartTag>
    </w:smartTag>
    <w:r>
      <w:rPr>
        <w:sz w:val="22"/>
      </w:rPr>
      <w:t xml:space="preserve"> </w:t>
    </w:r>
    <w:proofErr w:type="spellStart"/>
    <w:r>
      <w:rPr>
        <w:sz w:val="22"/>
      </w:rPr>
      <w:t>Coroners</w:t>
    </w:r>
    <w:proofErr w:type="spellEnd"/>
    <w:r>
      <w:rPr>
        <w:sz w:val="22"/>
      </w:rPr>
      <w:t xml:space="preserve"> Office</w:t>
    </w:r>
  </w:p>
  <w:p w14:paraId="57513D85" w14:textId="77777777" w:rsidR="001815FE" w:rsidRDefault="001815FE">
    <w:pPr>
      <w:pStyle w:val="Title"/>
      <w:rPr>
        <w:sz w:val="22"/>
      </w:rPr>
    </w:pPr>
  </w:p>
  <w:p w14:paraId="62B20D7A" w14:textId="77777777" w:rsidR="001815FE" w:rsidRDefault="001815FE">
    <w:pPr>
      <w:pStyle w:val="Title"/>
      <w:rPr>
        <w:sz w:val="22"/>
      </w:rPr>
    </w:pPr>
  </w:p>
  <w:p w14:paraId="63BBEC51" w14:textId="77777777" w:rsidR="001815FE" w:rsidRPr="00332EA4" w:rsidRDefault="00BE2F4F">
    <w:pPr>
      <w:pStyle w:val="Title"/>
      <w:rPr>
        <w:sz w:val="22"/>
        <w:u w:val="single"/>
      </w:rPr>
    </w:pPr>
    <w:r>
      <w:rPr>
        <w:sz w:val="22"/>
        <w:u w:val="single"/>
      </w:rPr>
      <w:t>Autopsies &amp; Forensic Exams</w:t>
    </w:r>
  </w:p>
  <w:p w14:paraId="3B65C7F4" w14:textId="77777777" w:rsidR="001815FE" w:rsidRDefault="001815FE">
    <w:pPr>
      <w:pStyle w:val="Title"/>
      <w:rPr>
        <w:sz w:val="22"/>
      </w:rPr>
    </w:pPr>
  </w:p>
  <w:p w14:paraId="4AB49E07" w14:textId="77777777" w:rsidR="001815FE" w:rsidRPr="002F6995" w:rsidRDefault="001815FE">
    <w:pPr>
      <w:pStyle w:val="Heading1"/>
      <w:rPr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1E1A59"/>
    <w:multiLevelType w:val="hybridMultilevel"/>
    <w:tmpl w:val="E5462D04"/>
    <w:lvl w:ilvl="0" w:tplc="14E0529E">
      <w:start w:val="1"/>
      <w:numFmt w:val="lowerLetter"/>
      <w:lvlText w:val="%1)"/>
      <w:lvlJc w:val="left"/>
      <w:pPr>
        <w:ind w:left="7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4" w:hanging="360"/>
      </w:pPr>
    </w:lvl>
    <w:lvl w:ilvl="2" w:tplc="0409001B" w:tentative="1">
      <w:start w:val="1"/>
      <w:numFmt w:val="lowerRoman"/>
      <w:lvlText w:val="%3."/>
      <w:lvlJc w:val="right"/>
      <w:pPr>
        <w:ind w:left="2204" w:hanging="180"/>
      </w:pPr>
    </w:lvl>
    <w:lvl w:ilvl="3" w:tplc="0409000F" w:tentative="1">
      <w:start w:val="1"/>
      <w:numFmt w:val="decimal"/>
      <w:lvlText w:val="%4."/>
      <w:lvlJc w:val="left"/>
      <w:pPr>
        <w:ind w:left="2924" w:hanging="360"/>
      </w:pPr>
    </w:lvl>
    <w:lvl w:ilvl="4" w:tplc="04090019" w:tentative="1">
      <w:start w:val="1"/>
      <w:numFmt w:val="lowerLetter"/>
      <w:lvlText w:val="%5."/>
      <w:lvlJc w:val="left"/>
      <w:pPr>
        <w:ind w:left="3644" w:hanging="360"/>
      </w:pPr>
    </w:lvl>
    <w:lvl w:ilvl="5" w:tplc="0409001B" w:tentative="1">
      <w:start w:val="1"/>
      <w:numFmt w:val="lowerRoman"/>
      <w:lvlText w:val="%6."/>
      <w:lvlJc w:val="right"/>
      <w:pPr>
        <w:ind w:left="4364" w:hanging="180"/>
      </w:pPr>
    </w:lvl>
    <w:lvl w:ilvl="6" w:tplc="0409000F" w:tentative="1">
      <w:start w:val="1"/>
      <w:numFmt w:val="decimal"/>
      <w:lvlText w:val="%7."/>
      <w:lvlJc w:val="left"/>
      <w:pPr>
        <w:ind w:left="5084" w:hanging="360"/>
      </w:pPr>
    </w:lvl>
    <w:lvl w:ilvl="7" w:tplc="04090019" w:tentative="1">
      <w:start w:val="1"/>
      <w:numFmt w:val="lowerLetter"/>
      <w:lvlText w:val="%8."/>
      <w:lvlJc w:val="left"/>
      <w:pPr>
        <w:ind w:left="5804" w:hanging="360"/>
      </w:pPr>
    </w:lvl>
    <w:lvl w:ilvl="8" w:tplc="0409001B" w:tentative="1">
      <w:start w:val="1"/>
      <w:numFmt w:val="lowerRoman"/>
      <w:lvlText w:val="%9."/>
      <w:lvlJc w:val="right"/>
      <w:pPr>
        <w:ind w:left="6524" w:hanging="180"/>
      </w:pPr>
    </w:lvl>
  </w:abstractNum>
  <w:abstractNum w:abstractNumId="1" w15:restartNumberingAfterBreak="0">
    <w:nsid w:val="5B5C24B7"/>
    <w:multiLevelType w:val="hybridMultilevel"/>
    <w:tmpl w:val="FBA6B532"/>
    <w:lvl w:ilvl="0" w:tplc="85F44B60">
      <w:start w:val="1"/>
      <w:numFmt w:val="lowerRoman"/>
      <w:lvlText w:val="%1)"/>
      <w:lvlJc w:val="left"/>
      <w:pPr>
        <w:ind w:left="106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4" w:hanging="360"/>
      </w:pPr>
    </w:lvl>
    <w:lvl w:ilvl="2" w:tplc="0409001B" w:tentative="1">
      <w:start w:val="1"/>
      <w:numFmt w:val="lowerRoman"/>
      <w:lvlText w:val="%3."/>
      <w:lvlJc w:val="right"/>
      <w:pPr>
        <w:ind w:left="2144" w:hanging="180"/>
      </w:pPr>
    </w:lvl>
    <w:lvl w:ilvl="3" w:tplc="0409000F" w:tentative="1">
      <w:start w:val="1"/>
      <w:numFmt w:val="decimal"/>
      <w:lvlText w:val="%4."/>
      <w:lvlJc w:val="left"/>
      <w:pPr>
        <w:ind w:left="2864" w:hanging="360"/>
      </w:pPr>
    </w:lvl>
    <w:lvl w:ilvl="4" w:tplc="04090019" w:tentative="1">
      <w:start w:val="1"/>
      <w:numFmt w:val="lowerLetter"/>
      <w:lvlText w:val="%5."/>
      <w:lvlJc w:val="left"/>
      <w:pPr>
        <w:ind w:left="3584" w:hanging="360"/>
      </w:pPr>
    </w:lvl>
    <w:lvl w:ilvl="5" w:tplc="0409001B" w:tentative="1">
      <w:start w:val="1"/>
      <w:numFmt w:val="lowerRoman"/>
      <w:lvlText w:val="%6."/>
      <w:lvlJc w:val="right"/>
      <w:pPr>
        <w:ind w:left="4304" w:hanging="180"/>
      </w:pPr>
    </w:lvl>
    <w:lvl w:ilvl="6" w:tplc="0409000F" w:tentative="1">
      <w:start w:val="1"/>
      <w:numFmt w:val="decimal"/>
      <w:lvlText w:val="%7."/>
      <w:lvlJc w:val="left"/>
      <w:pPr>
        <w:ind w:left="5024" w:hanging="360"/>
      </w:pPr>
    </w:lvl>
    <w:lvl w:ilvl="7" w:tplc="04090019" w:tentative="1">
      <w:start w:val="1"/>
      <w:numFmt w:val="lowerLetter"/>
      <w:lvlText w:val="%8."/>
      <w:lvlJc w:val="left"/>
      <w:pPr>
        <w:ind w:left="5744" w:hanging="360"/>
      </w:pPr>
    </w:lvl>
    <w:lvl w:ilvl="8" w:tplc="0409001B" w:tentative="1">
      <w:start w:val="1"/>
      <w:numFmt w:val="lowerRoman"/>
      <w:lvlText w:val="%9."/>
      <w:lvlJc w:val="right"/>
      <w:pPr>
        <w:ind w:left="6464" w:hanging="180"/>
      </w:pPr>
    </w:lvl>
  </w:abstractNum>
  <w:num w:numId="1" w16cid:durableId="4987365">
    <w:abstractNumId w:val="1"/>
  </w:num>
  <w:num w:numId="2" w16cid:durableId="12520802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F4F"/>
    <w:rsid w:val="001815FE"/>
    <w:rsid w:val="002166D3"/>
    <w:rsid w:val="003976FF"/>
    <w:rsid w:val="005711D4"/>
    <w:rsid w:val="0073590B"/>
    <w:rsid w:val="00983FA3"/>
    <w:rsid w:val="00BE2F4F"/>
    <w:rsid w:val="00C0266C"/>
    <w:rsid w:val="00CB7774"/>
    <w:rsid w:val="00D26BEE"/>
    <w:rsid w:val="00DA2761"/>
    <w:rsid w:val="00E31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4:docId w14:val="76DC91F9"/>
  <w15:docId w15:val="{8E8E495D-1912-4467-B14C-5EBF5C01D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2F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E2F4F"/>
    <w:pPr>
      <w:keepNext/>
      <w:jc w:val="center"/>
      <w:outlineLvl w:val="0"/>
    </w:pPr>
    <w:rPr>
      <w:rFonts w:ascii="Arial" w:hAnsi="Arial" w:cs="Arial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E2F4F"/>
    <w:rPr>
      <w:rFonts w:ascii="Arial" w:eastAsia="Times New Roman" w:hAnsi="Arial" w:cs="Arial"/>
      <w:b/>
      <w:bCs/>
      <w:szCs w:val="24"/>
    </w:rPr>
  </w:style>
  <w:style w:type="paragraph" w:styleId="Title">
    <w:name w:val="Title"/>
    <w:basedOn w:val="Normal"/>
    <w:link w:val="TitleChar"/>
    <w:qFormat/>
    <w:rsid w:val="00BE2F4F"/>
    <w:pPr>
      <w:jc w:val="center"/>
    </w:pPr>
    <w:rPr>
      <w:rFonts w:ascii="Arial" w:hAnsi="Arial" w:cs="Arial"/>
      <w:b/>
      <w:bCs/>
    </w:rPr>
  </w:style>
  <w:style w:type="character" w:customStyle="1" w:styleId="TitleChar">
    <w:name w:val="Title Char"/>
    <w:basedOn w:val="DefaultParagraphFont"/>
    <w:link w:val="Title"/>
    <w:rsid w:val="00BE2F4F"/>
    <w:rPr>
      <w:rFonts w:ascii="Arial" w:eastAsia="Times New Roman" w:hAnsi="Arial" w:cs="Arial"/>
      <w:b/>
      <w:bCs/>
      <w:sz w:val="24"/>
      <w:szCs w:val="24"/>
    </w:rPr>
  </w:style>
  <w:style w:type="paragraph" w:styleId="Footer">
    <w:name w:val="footer"/>
    <w:basedOn w:val="Normal"/>
    <w:link w:val="FooterChar"/>
    <w:semiHidden/>
    <w:rsid w:val="00BE2F4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BE2F4F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semiHidden/>
    <w:rsid w:val="00BE2F4F"/>
  </w:style>
  <w:style w:type="paragraph" w:styleId="BodyText">
    <w:name w:val="Body Text"/>
    <w:basedOn w:val="Normal"/>
    <w:link w:val="BodyTextChar"/>
    <w:semiHidden/>
    <w:rsid w:val="00BE2F4F"/>
    <w:pPr>
      <w:jc w:val="both"/>
    </w:pPr>
    <w:rPr>
      <w:rFonts w:ascii="Arial" w:hAnsi="Arial"/>
      <w:sz w:val="22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BE2F4F"/>
    <w:rPr>
      <w:rFonts w:ascii="Arial" w:eastAsia="Times New Roman" w:hAnsi="Arial" w:cs="Times New Roman"/>
      <w:szCs w:val="20"/>
    </w:rPr>
  </w:style>
  <w:style w:type="paragraph" w:styleId="ListParagraph">
    <w:name w:val="List Paragraph"/>
    <w:basedOn w:val="Normal"/>
    <w:uiPriority w:val="34"/>
    <w:qFormat/>
    <w:rsid w:val="00BE2F4F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f27eb8-0e3d-496f-b523-771757bdd770">
      <Terms xmlns="http://schemas.microsoft.com/office/infopath/2007/PartnerControls"/>
    </lcf76f155ced4ddcb4097134ff3c332f>
    <TaxCatchAll xmlns="8416942f-d982-4ba4-a5b0-104826b4be2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E5814883B49940B4B8AAE202A6E984" ma:contentTypeVersion="15" ma:contentTypeDescription="Create a new document." ma:contentTypeScope="" ma:versionID="85764bbacce00c40b608bb72323954df">
  <xsd:schema xmlns:xsd="http://www.w3.org/2001/XMLSchema" xmlns:xs="http://www.w3.org/2001/XMLSchema" xmlns:p="http://schemas.microsoft.com/office/2006/metadata/properties" xmlns:ns2="8ef27eb8-0e3d-496f-b523-771757bdd770" xmlns:ns3="8416942f-d982-4ba4-a5b0-104826b4be24" targetNamespace="http://schemas.microsoft.com/office/2006/metadata/properties" ma:root="true" ma:fieldsID="1694ac8198207d600732ada49f624893" ns2:_="" ns3:_="">
    <xsd:import namespace="8ef27eb8-0e3d-496f-b523-771757bdd770"/>
    <xsd:import namespace="8416942f-d982-4ba4-a5b0-104826b4be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27eb8-0e3d-496f-b523-771757bdd7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23b40f3a-84d0-4acf-ad34-a39173ff9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6942f-d982-4ba4-a5b0-104826b4be2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6d50615b-cec2-4d56-b65e-8f4b56f4a57f}" ma:internalName="TaxCatchAll" ma:showField="CatchAllData" ma:web="8416942f-d982-4ba4-a5b0-104826b4be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BD6F44-96AC-4C34-A861-64525D33ACA4}">
  <ds:schemaRefs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8ef27eb8-0e3d-496f-b523-771757bdd770"/>
    <ds:schemaRef ds:uri="8416942f-d982-4ba4-a5b0-104826b4be24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6D824A7-663B-4B00-8E2E-49E31B3069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C34BA1-085D-4957-9D73-9D16F50D0C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27eb8-0e3d-496f-b523-771757bdd770"/>
    <ds:schemaRef ds:uri="8416942f-d982-4ba4-a5b0-104826b4be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Kintz Jr</dc:creator>
  <cp:lastModifiedBy>Chisholm, Yujiemi</cp:lastModifiedBy>
  <cp:revision>2</cp:revision>
  <dcterms:created xsi:type="dcterms:W3CDTF">2025-06-02T11:05:00Z</dcterms:created>
  <dcterms:modified xsi:type="dcterms:W3CDTF">2025-06-02T11:05:00Z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0x0101002FE5814883B49940B4B8AAE202A6E984</vt:lpwstr>
  </property>
</Properties>
</file>