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A3DA8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42294D5A" w:rsidR="00435C83" w:rsidRPr="00C96D04" w:rsidRDefault="00012A77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ON </w:t>
            </w:r>
            <w:r w:rsidR="00150315">
              <w:rPr>
                <w:rFonts w:cstheme="minorHAnsi"/>
              </w:rPr>
              <w:t>SCENE</w:t>
            </w:r>
            <w:r>
              <w:rPr>
                <w:rFonts w:cstheme="minorHAnsi"/>
              </w:rPr>
              <w:t xml:space="preserve"> </w:t>
            </w:r>
            <w:r w:rsidR="00150315">
              <w:rPr>
                <w:rFonts w:cstheme="minorHAnsi"/>
              </w:rPr>
              <w:t>EVIDENCE</w:t>
            </w:r>
            <w:r w:rsidR="00AA76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AND PROPERTY </w:t>
            </w:r>
            <w:r w:rsidR="00AA7610">
              <w:rPr>
                <w:rFonts w:cstheme="minorHAnsi"/>
              </w:rPr>
              <w:t>COLLECTION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1C91E8E3" w:rsidR="00435C83" w:rsidRPr="00C96D04" w:rsidRDefault="00370BE1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I.2.04</w:t>
            </w:r>
          </w:p>
        </w:tc>
      </w:tr>
      <w:tr w:rsidR="003146E8" w14:paraId="053E9FC0" w14:textId="71F50D38" w:rsidTr="00D969B7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3146E8" w:rsidRDefault="003146E8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3146E8" w:rsidRPr="00C96D04" w:rsidRDefault="003146E8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2865AB58" w:rsidR="003146E8" w:rsidRPr="00C96D04" w:rsidRDefault="00C578A3" w:rsidP="00186465">
            <w:pPr>
              <w:jc w:val="center"/>
              <w:rPr>
                <w:rFonts w:cstheme="minorHAnsi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7BE68CEA" wp14:editId="7F798202">
                  <wp:simplePos x="0" y="0"/>
                  <wp:positionH relativeFrom="column">
                    <wp:posOffset>-466725</wp:posOffset>
                  </wp:positionH>
                  <wp:positionV relativeFrom="page">
                    <wp:posOffset>168910</wp:posOffset>
                  </wp:positionV>
                  <wp:extent cx="2657475" cy="664845"/>
                  <wp:effectExtent l="0" t="0" r="952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475" cy="66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46E8">
              <w:rPr>
                <w:rFonts w:cstheme="minorHAnsi"/>
              </w:rPr>
              <w:t>Investigation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3146E8" w:rsidRPr="00C96D04" w:rsidRDefault="003146E8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1D5EE45C" w:rsidR="003146E8" w:rsidRPr="003146E8" w:rsidRDefault="003146E8" w:rsidP="003146E8">
            <w:pPr>
              <w:jc w:val="center"/>
              <w:rPr>
                <w:rFonts w:cstheme="minorHAnsi"/>
              </w:rPr>
            </w:pPr>
            <w:r w:rsidRPr="003146E8">
              <w:rPr>
                <w:rFonts w:cstheme="minorHAnsi"/>
              </w:rPr>
              <w:t xml:space="preserve">Page </w:t>
            </w:r>
            <w:r w:rsidRPr="003146E8">
              <w:rPr>
                <w:rFonts w:cstheme="minorHAnsi"/>
              </w:rPr>
              <w:fldChar w:fldCharType="begin"/>
            </w:r>
            <w:r w:rsidRPr="003146E8">
              <w:rPr>
                <w:rFonts w:cstheme="minorHAnsi"/>
              </w:rPr>
              <w:instrText xml:space="preserve"> PAGE  \* Arabic  \* MERGEFORMAT </w:instrText>
            </w:r>
            <w:r w:rsidRPr="003146E8">
              <w:rPr>
                <w:rFonts w:cstheme="minorHAnsi"/>
              </w:rPr>
              <w:fldChar w:fldCharType="separate"/>
            </w:r>
            <w:r w:rsidRPr="003146E8">
              <w:rPr>
                <w:rFonts w:cstheme="minorHAnsi"/>
                <w:noProof/>
              </w:rPr>
              <w:t>1</w:t>
            </w:r>
            <w:r w:rsidRPr="003146E8">
              <w:rPr>
                <w:rFonts w:cstheme="minorHAnsi"/>
              </w:rPr>
              <w:fldChar w:fldCharType="end"/>
            </w:r>
            <w:r w:rsidRPr="003146E8">
              <w:rPr>
                <w:rFonts w:cstheme="minorHAnsi"/>
              </w:rPr>
              <w:t xml:space="preserve"> of </w:t>
            </w:r>
            <w:r w:rsidRPr="003146E8">
              <w:rPr>
                <w:rFonts w:cstheme="minorHAnsi"/>
              </w:rPr>
              <w:fldChar w:fldCharType="begin"/>
            </w:r>
            <w:r w:rsidRPr="003146E8">
              <w:rPr>
                <w:rFonts w:cstheme="minorHAnsi"/>
              </w:rPr>
              <w:instrText xml:space="preserve"> NUMPAGES  \* Arabic  \* MERGEFORMAT </w:instrText>
            </w:r>
            <w:r w:rsidRPr="003146E8">
              <w:rPr>
                <w:rFonts w:cstheme="minorHAnsi"/>
              </w:rPr>
              <w:fldChar w:fldCharType="separate"/>
            </w:r>
            <w:r w:rsidRPr="003146E8">
              <w:rPr>
                <w:rFonts w:cstheme="minorHAnsi"/>
                <w:noProof/>
              </w:rPr>
              <w:t>2</w:t>
            </w:r>
            <w:r w:rsidRPr="003146E8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001B0A45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5716920D" w:rsidR="00F059F0" w:rsidRPr="00C96D04" w:rsidRDefault="00DB5B73" w:rsidP="00DB5B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B3b,B3j,B3l,B3m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166A1A24" w:rsidR="00F059F0" w:rsidRPr="00C578A3" w:rsidRDefault="00C578A3" w:rsidP="00F8353E">
            <w:pPr>
              <w:jc w:val="center"/>
              <w:rPr>
                <w:rFonts w:cstheme="minorHAnsi"/>
                <w:b/>
                <w:bCs/>
                <w:color w:val="0070C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70C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66B813F9" w:rsidR="00F059F0" w:rsidRPr="00C96D04" w:rsidRDefault="00B64238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A6</w:t>
            </w:r>
            <w:r w:rsidR="00ED44DB">
              <w:rPr>
                <w:rFonts w:cstheme="minorHAnsi"/>
              </w:rPr>
              <w:t>c</w:t>
            </w:r>
            <w:r>
              <w:rPr>
                <w:rFonts w:cstheme="minorHAnsi"/>
              </w:rPr>
              <w:t>,A6</w:t>
            </w:r>
            <w:r w:rsidR="00ED44DB">
              <w:rPr>
                <w:rFonts w:cstheme="minorHAnsi"/>
              </w:rPr>
              <w:t>k</w:t>
            </w:r>
            <w:r w:rsidR="00896B88">
              <w:rPr>
                <w:rFonts w:cstheme="minorHAnsi"/>
              </w:rPr>
              <w:t>,</w:t>
            </w:r>
            <w:r w:rsidR="00A11A00">
              <w:rPr>
                <w:rFonts w:cstheme="minorHAnsi"/>
              </w:rPr>
              <w:t>A9c,</w:t>
            </w:r>
            <w:r w:rsidR="00ED44DB">
              <w:rPr>
                <w:rFonts w:cstheme="minorHAnsi"/>
              </w:rPr>
              <w:t xml:space="preserve"> </w:t>
            </w:r>
            <w:r w:rsidR="00896B88">
              <w:rPr>
                <w:rFonts w:cstheme="minorHAnsi"/>
              </w:rPr>
              <w:t>B</w:t>
            </w:r>
            <w:r w:rsidR="000B4577">
              <w:rPr>
                <w:rFonts w:cstheme="minorHAnsi"/>
              </w:rPr>
              <w:t>1</w:t>
            </w:r>
            <w:r w:rsidR="00ED44DB">
              <w:rPr>
                <w:rFonts w:cstheme="minorHAnsi"/>
              </w:rPr>
              <w:t>q</w:t>
            </w:r>
            <w:r w:rsidR="00896B88">
              <w:rPr>
                <w:rFonts w:cstheme="minorHAnsi"/>
              </w:rPr>
              <w:t>,B</w:t>
            </w:r>
            <w:r w:rsidR="000B4577">
              <w:rPr>
                <w:rFonts w:cstheme="minorHAnsi"/>
              </w:rPr>
              <w:t>1</w:t>
            </w:r>
            <w:r w:rsidR="00ED44DB">
              <w:rPr>
                <w:rFonts w:cstheme="minorHAnsi"/>
              </w:rPr>
              <w:t>r</w:t>
            </w:r>
            <w:r w:rsidR="00896B88">
              <w:rPr>
                <w:rFonts w:cstheme="minorHAnsi"/>
              </w:rPr>
              <w:t>,B</w:t>
            </w:r>
            <w:r w:rsidR="000B4577">
              <w:rPr>
                <w:rFonts w:cstheme="minorHAnsi"/>
              </w:rPr>
              <w:t>1</w:t>
            </w:r>
            <w:r w:rsidR="00ED44DB">
              <w:rPr>
                <w:rFonts w:cstheme="minorHAnsi"/>
              </w:rPr>
              <w:t>s</w:t>
            </w:r>
            <w:r w:rsidR="003344E5">
              <w:rPr>
                <w:rFonts w:cstheme="minorHAnsi"/>
              </w:rPr>
              <w:t>,</w:t>
            </w:r>
            <w:r w:rsidR="000E4E2F">
              <w:rPr>
                <w:rFonts w:cstheme="minorHAnsi"/>
              </w:rPr>
              <w:t>B1x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3EE850AF" w14:textId="5BB1CA8F" w:rsidR="00DC54AE" w:rsidRDefault="00012A77" w:rsidP="00A507CF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 xml:space="preserve">PURPOSE: 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</w:p>
    <w:p w14:paraId="64FD19CB" w14:textId="109B13A3" w:rsidR="005C744D" w:rsidRDefault="00DC54AE" w:rsidP="00012A77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</w:t>
      </w:r>
      <w:r w:rsidR="00012A77">
        <w:rPr>
          <w:rFonts w:eastAsia="Times New Roman" w:cstheme="minorHAnsi"/>
          <w:color w:val="000000"/>
          <w:sz w:val="24"/>
          <w:szCs w:val="24"/>
        </w:rPr>
        <w:t>tandardized</w:t>
      </w:r>
      <w:r w:rsidR="0027771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12A77">
        <w:rPr>
          <w:rFonts w:eastAsia="Times New Roman" w:cstheme="minorHAnsi"/>
          <w:color w:val="000000"/>
          <w:sz w:val="24"/>
          <w:szCs w:val="24"/>
        </w:rPr>
        <w:t>collection</w:t>
      </w:r>
      <w:r w:rsidR="00A507CF">
        <w:rPr>
          <w:rFonts w:eastAsia="Times New Roman" w:cstheme="minorHAnsi"/>
          <w:color w:val="000000"/>
          <w:sz w:val="24"/>
          <w:szCs w:val="24"/>
        </w:rPr>
        <w:t xml:space="preserve"> and</w:t>
      </w:r>
      <w:r w:rsidR="00012A77">
        <w:rPr>
          <w:rFonts w:eastAsia="Times New Roman" w:cstheme="minorHAnsi"/>
          <w:color w:val="000000"/>
          <w:sz w:val="24"/>
          <w:szCs w:val="24"/>
        </w:rPr>
        <w:t xml:space="preserve"> handling</w:t>
      </w:r>
      <w:r>
        <w:rPr>
          <w:rFonts w:eastAsia="Times New Roman" w:cstheme="minorHAnsi"/>
          <w:color w:val="000000"/>
          <w:sz w:val="24"/>
          <w:szCs w:val="24"/>
        </w:rPr>
        <w:t xml:space="preserve"> procedures</w:t>
      </w:r>
      <w:r w:rsidR="0027771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27771A" w:rsidRPr="0027771A">
        <w:rPr>
          <w:rFonts w:eastAsia="Times New Roman" w:cstheme="minorHAnsi"/>
          <w:i/>
          <w:iCs/>
          <w:color w:val="000000"/>
          <w:sz w:val="24"/>
          <w:szCs w:val="24"/>
        </w:rPr>
        <w:t>on scene</w:t>
      </w:r>
      <w:r>
        <w:rPr>
          <w:rFonts w:eastAsia="Times New Roman" w:cstheme="minorHAnsi"/>
          <w:color w:val="000000"/>
          <w:sz w:val="24"/>
          <w:szCs w:val="24"/>
        </w:rPr>
        <w:t xml:space="preserve"> ensure </w:t>
      </w:r>
      <w:r w:rsidR="00A507CF">
        <w:rPr>
          <w:rFonts w:eastAsia="Times New Roman" w:cstheme="minorHAnsi"/>
          <w:color w:val="000000"/>
          <w:sz w:val="24"/>
          <w:szCs w:val="24"/>
        </w:rPr>
        <w:t>that</w:t>
      </w:r>
      <w:r w:rsidR="002F34F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F1D8A">
        <w:rPr>
          <w:rFonts w:eastAsia="Times New Roman" w:cstheme="minorHAnsi"/>
          <w:color w:val="000000"/>
          <w:sz w:val="24"/>
          <w:szCs w:val="24"/>
        </w:rPr>
        <w:t xml:space="preserve">proper </w:t>
      </w:r>
      <w:r>
        <w:rPr>
          <w:rFonts w:eastAsia="Times New Roman" w:cstheme="minorHAnsi"/>
          <w:color w:val="000000"/>
          <w:sz w:val="24"/>
          <w:szCs w:val="24"/>
        </w:rPr>
        <w:t>chain of custody</w:t>
      </w:r>
      <w:r w:rsidR="00A507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8F1D8A">
        <w:rPr>
          <w:rFonts w:eastAsia="Times New Roman" w:cstheme="minorHAnsi"/>
          <w:color w:val="000000"/>
          <w:sz w:val="24"/>
          <w:szCs w:val="24"/>
        </w:rPr>
        <w:t>procedure</w:t>
      </w:r>
      <w:r w:rsidR="0027771A">
        <w:rPr>
          <w:rFonts w:eastAsia="Times New Roman" w:cstheme="minorHAnsi"/>
          <w:color w:val="000000"/>
          <w:sz w:val="24"/>
          <w:szCs w:val="24"/>
        </w:rPr>
        <w:t>s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gramStart"/>
      <w:r w:rsidR="0027771A">
        <w:rPr>
          <w:rFonts w:eastAsia="Times New Roman" w:cstheme="minorHAnsi"/>
          <w:color w:val="000000"/>
          <w:sz w:val="24"/>
          <w:szCs w:val="24"/>
        </w:rPr>
        <w:t>are</w:t>
      </w:r>
      <w:proofErr w:type="gramEnd"/>
      <w:r w:rsidR="0027771A">
        <w:rPr>
          <w:rFonts w:eastAsia="Times New Roman"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</w:rPr>
        <w:t>upheld</w:t>
      </w:r>
      <w:r w:rsidR="0027771A">
        <w:rPr>
          <w:rFonts w:eastAsia="Times New Roman" w:cstheme="minorHAnsi"/>
          <w:color w:val="000000"/>
          <w:sz w:val="24"/>
          <w:szCs w:val="24"/>
        </w:rPr>
        <w:t xml:space="preserve"> and identified forensic value is maintained</w:t>
      </w:r>
      <w:r>
        <w:rPr>
          <w:rFonts w:eastAsia="Times New Roman" w:cstheme="minorHAnsi"/>
          <w:color w:val="000000"/>
          <w:sz w:val="24"/>
          <w:szCs w:val="24"/>
        </w:rPr>
        <w:t>.</w:t>
      </w:r>
      <w:r w:rsidR="0027771A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5C744D">
        <w:rPr>
          <w:rFonts w:eastAsia="Times New Roman" w:cstheme="minorHAnsi"/>
          <w:color w:val="000000"/>
          <w:sz w:val="24"/>
          <w:szCs w:val="24"/>
        </w:rPr>
        <w:t>Thus, supporting</w:t>
      </w:r>
      <w:r w:rsidR="00BB2DC6">
        <w:rPr>
          <w:rFonts w:eastAsia="Times New Roman" w:cstheme="minorHAnsi"/>
          <w:color w:val="000000"/>
          <w:sz w:val="24"/>
          <w:szCs w:val="24"/>
        </w:rPr>
        <w:t xml:space="preserve"> the mission of the Ada County Coroner’s Office (ACCO) </w:t>
      </w:r>
      <w:r w:rsidR="005C744D">
        <w:rPr>
          <w:rFonts w:eastAsia="Times New Roman" w:cstheme="minorHAnsi"/>
          <w:color w:val="000000"/>
          <w:sz w:val="24"/>
          <w:szCs w:val="24"/>
        </w:rPr>
        <w:t>through decedent identification, and cause and manner of death determinations</w:t>
      </w:r>
      <w:r w:rsidR="00404BB4">
        <w:rPr>
          <w:rFonts w:eastAsia="Times New Roman" w:cstheme="minorHAnsi"/>
          <w:color w:val="000000"/>
          <w:sz w:val="24"/>
          <w:szCs w:val="24"/>
        </w:rPr>
        <w:t xml:space="preserve">; </w:t>
      </w:r>
      <w:r w:rsidR="005C744D">
        <w:rPr>
          <w:rFonts w:eastAsia="Times New Roman" w:cstheme="minorHAnsi"/>
          <w:color w:val="000000"/>
          <w:sz w:val="24"/>
          <w:szCs w:val="24"/>
        </w:rPr>
        <w:t>as well as ensuring the return of personal effects to the decedent’s legal next of kin.</w:t>
      </w:r>
    </w:p>
    <w:p w14:paraId="3DDCE34B" w14:textId="77777777" w:rsidR="005C744D" w:rsidRDefault="005C744D" w:rsidP="00012A77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44AC4181" w14:textId="4C5A1B39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0480E994" w14:textId="3D775553" w:rsidR="001412B6" w:rsidRDefault="008132C8" w:rsidP="00BB2DC6">
      <w:pPr>
        <w:pStyle w:val="ListParagraph"/>
        <w:spacing w:before="161" w:line="276" w:lineRule="auto"/>
        <w:ind w:left="0" w:right="144"/>
        <w:jc w:val="both"/>
        <w:textAlignment w:val="baseline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Investigator </w:t>
      </w:r>
      <w:r w:rsidR="00464950">
        <w:rPr>
          <w:rFonts w:eastAsia="Times New Roman" w:cstheme="minorHAnsi"/>
          <w:sz w:val="24"/>
          <w:szCs w:val="24"/>
        </w:rPr>
        <w:t xml:space="preserve">and Forensic Technician </w:t>
      </w:r>
      <w:r>
        <w:rPr>
          <w:rFonts w:eastAsia="Times New Roman" w:cstheme="minorHAnsi"/>
          <w:sz w:val="24"/>
          <w:szCs w:val="24"/>
        </w:rPr>
        <w:t>shall ensure that</w:t>
      </w:r>
      <w:r w:rsidR="00DC54AE">
        <w:rPr>
          <w:rFonts w:eastAsia="Times New Roman" w:cstheme="minorHAnsi"/>
          <w:sz w:val="24"/>
          <w:szCs w:val="24"/>
        </w:rPr>
        <w:t xml:space="preserve"> </w:t>
      </w:r>
      <w:r w:rsidR="00A971FA">
        <w:rPr>
          <w:rFonts w:eastAsia="Times New Roman" w:cstheme="minorHAnsi"/>
          <w:sz w:val="24"/>
          <w:szCs w:val="24"/>
        </w:rPr>
        <w:t>items of</w:t>
      </w:r>
      <w:r w:rsidR="003A76EB">
        <w:rPr>
          <w:rFonts w:eastAsia="Times New Roman" w:cstheme="minorHAnsi"/>
          <w:sz w:val="24"/>
          <w:szCs w:val="24"/>
        </w:rPr>
        <w:t xml:space="preserve"> </w:t>
      </w:r>
      <w:r w:rsidR="00464950">
        <w:rPr>
          <w:rFonts w:eastAsia="Times New Roman" w:cstheme="minorHAnsi"/>
          <w:sz w:val="24"/>
          <w:szCs w:val="24"/>
        </w:rPr>
        <w:t>evidentiary value, medicolegal significance</w:t>
      </w:r>
      <w:r w:rsidR="003A76EB">
        <w:rPr>
          <w:rFonts w:eastAsia="Times New Roman" w:cstheme="minorHAnsi"/>
          <w:sz w:val="24"/>
          <w:szCs w:val="24"/>
        </w:rPr>
        <w:t>, and potential value</w:t>
      </w:r>
      <w:r w:rsidR="00360BBE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are</w:t>
      </w:r>
      <w:r w:rsidR="002F34FF">
        <w:rPr>
          <w:rFonts w:eastAsia="Times New Roman" w:cstheme="minorHAnsi"/>
          <w:sz w:val="24"/>
          <w:szCs w:val="24"/>
        </w:rPr>
        <w:t xml:space="preserve"> </w:t>
      </w:r>
      <w:r w:rsidR="00DC54AE">
        <w:rPr>
          <w:rFonts w:eastAsia="Times New Roman" w:cstheme="minorHAnsi"/>
          <w:sz w:val="24"/>
          <w:szCs w:val="24"/>
        </w:rPr>
        <w:t xml:space="preserve">properly </w:t>
      </w:r>
      <w:r w:rsidR="002F34FF">
        <w:rPr>
          <w:rFonts w:eastAsia="Times New Roman" w:cstheme="minorHAnsi"/>
          <w:sz w:val="24"/>
          <w:szCs w:val="24"/>
        </w:rPr>
        <w:t>documented,</w:t>
      </w:r>
      <w:r>
        <w:rPr>
          <w:rFonts w:eastAsia="Times New Roman" w:cstheme="minorHAnsi"/>
          <w:sz w:val="24"/>
          <w:szCs w:val="24"/>
        </w:rPr>
        <w:t xml:space="preserve"> collected, inventoried, safeguarded, and released </w:t>
      </w:r>
      <w:r w:rsidR="002F34FF">
        <w:rPr>
          <w:rFonts w:eastAsia="Times New Roman" w:cstheme="minorHAnsi"/>
          <w:sz w:val="24"/>
          <w:szCs w:val="24"/>
        </w:rPr>
        <w:t xml:space="preserve">in </w:t>
      </w:r>
      <w:r>
        <w:rPr>
          <w:rFonts w:eastAsia="Times New Roman" w:cstheme="minorHAnsi"/>
          <w:sz w:val="24"/>
          <w:szCs w:val="24"/>
        </w:rPr>
        <w:t xml:space="preserve">accordance with </w:t>
      </w:r>
      <w:r w:rsidR="009F3C23">
        <w:rPr>
          <w:rFonts w:eastAsia="Times New Roman" w:cstheme="minorHAnsi"/>
          <w:sz w:val="24"/>
          <w:szCs w:val="24"/>
        </w:rPr>
        <w:t>ACCO</w:t>
      </w:r>
      <w:r>
        <w:rPr>
          <w:rFonts w:eastAsia="Times New Roman" w:cstheme="minorHAnsi"/>
          <w:sz w:val="24"/>
          <w:szCs w:val="24"/>
        </w:rPr>
        <w:t xml:space="preserve"> </w:t>
      </w:r>
      <w:r w:rsidR="002F34FF">
        <w:rPr>
          <w:rFonts w:eastAsia="Times New Roman" w:cstheme="minorHAnsi"/>
          <w:sz w:val="24"/>
          <w:szCs w:val="24"/>
        </w:rPr>
        <w:t>standard operating procedures</w:t>
      </w:r>
      <w:r>
        <w:rPr>
          <w:rFonts w:eastAsia="Times New Roman" w:cstheme="minorHAnsi"/>
          <w:sz w:val="24"/>
          <w:szCs w:val="24"/>
        </w:rPr>
        <w:t>.</w:t>
      </w:r>
    </w:p>
    <w:p w14:paraId="0A7625B3" w14:textId="77777777" w:rsidR="005C744D" w:rsidRPr="00BB2DC6" w:rsidRDefault="005C744D" w:rsidP="00BB2DC6">
      <w:pPr>
        <w:pStyle w:val="ListParagraph"/>
        <w:spacing w:before="161" w:line="276" w:lineRule="auto"/>
        <w:ind w:left="0" w:right="144"/>
        <w:jc w:val="both"/>
        <w:textAlignment w:val="baseline"/>
        <w:rPr>
          <w:rFonts w:eastAsia="Times New Roman" w:cstheme="minorHAnsi"/>
          <w:sz w:val="24"/>
          <w:szCs w:val="24"/>
        </w:rPr>
      </w:pPr>
    </w:p>
    <w:p w14:paraId="2DAF095D" w14:textId="2F8C551A" w:rsidR="001412B6" w:rsidRPr="00186465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13ABF182" w14:textId="3DCAABDB" w:rsidR="00BB2DC6" w:rsidRDefault="00C2438F" w:rsidP="00BB3D01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property located on the decedent shall be documented, photographed, and </w:t>
      </w:r>
      <w:r w:rsidR="00360BBE">
        <w:rPr>
          <w:sz w:val="24"/>
          <w:szCs w:val="24"/>
        </w:rPr>
        <w:t>collected</w:t>
      </w:r>
      <w:r>
        <w:rPr>
          <w:sz w:val="24"/>
          <w:szCs w:val="24"/>
        </w:rPr>
        <w:t>.</w:t>
      </w:r>
    </w:p>
    <w:p w14:paraId="60D1302B" w14:textId="77777777" w:rsidR="00360BBE" w:rsidRDefault="00360BBE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Pockets shall be turned out.</w:t>
      </w:r>
    </w:p>
    <w:p w14:paraId="0834FC13" w14:textId="54E0AE77" w:rsidR="001667B7" w:rsidRDefault="00360BBE" w:rsidP="00360BBE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Property within shall be collected and photographed to be inventoried by Forensic Staff</w:t>
      </w:r>
      <w:r w:rsidR="001667B7">
        <w:rPr>
          <w:sz w:val="24"/>
          <w:szCs w:val="24"/>
        </w:rPr>
        <w:t>.</w:t>
      </w:r>
    </w:p>
    <w:p w14:paraId="4B3C842A" w14:textId="6F2DCB93" w:rsidR="00BB2DC6" w:rsidRDefault="001667B7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Collected items shall be </w:t>
      </w:r>
      <w:r w:rsidR="00BB2DC6" w:rsidRPr="00BB2DC6">
        <w:rPr>
          <w:sz w:val="24"/>
          <w:szCs w:val="24"/>
        </w:rPr>
        <w:t>inventoried in the ACCO case management system.</w:t>
      </w:r>
    </w:p>
    <w:p w14:paraId="4AE7C6AE" w14:textId="64DC838F" w:rsidR="00032FB1" w:rsidRPr="00BB2DC6" w:rsidRDefault="0068238D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Any r</w:t>
      </w:r>
      <w:r w:rsidR="00032FB1">
        <w:rPr>
          <w:sz w:val="24"/>
          <w:szCs w:val="24"/>
        </w:rPr>
        <w:t xml:space="preserve">elease of personal effects from the body at the scene shall be in accordance with ACCO standard operating </w:t>
      </w:r>
      <w:r w:rsidR="007E7B9C">
        <w:rPr>
          <w:sz w:val="24"/>
          <w:szCs w:val="24"/>
        </w:rPr>
        <w:t>procedures and</w:t>
      </w:r>
      <w:r>
        <w:rPr>
          <w:sz w:val="24"/>
          <w:szCs w:val="24"/>
        </w:rPr>
        <w:t xml:space="preserve"> documented in the ACCO case management system</w:t>
      </w:r>
      <w:r w:rsidR="00032FB1">
        <w:rPr>
          <w:sz w:val="24"/>
          <w:szCs w:val="24"/>
        </w:rPr>
        <w:t>.</w:t>
      </w:r>
    </w:p>
    <w:p w14:paraId="17C213CF" w14:textId="69CD9FE3" w:rsidR="00C2438F" w:rsidRPr="0080168A" w:rsidRDefault="00C2438F" w:rsidP="00BB3D01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  <w:highlight w:val="yellow"/>
        </w:rPr>
      </w:pPr>
      <w:r w:rsidRPr="0080168A">
        <w:rPr>
          <w:sz w:val="24"/>
          <w:szCs w:val="24"/>
          <w:highlight w:val="yellow"/>
        </w:rPr>
        <w:t>Any identified illicit drugs and paraphernalia shall be documented, photographed, and released to the investigating law enforcement agency on scene.</w:t>
      </w:r>
    </w:p>
    <w:p w14:paraId="40C1AA7E" w14:textId="16DAFE35" w:rsidR="00BB2DC6" w:rsidRDefault="00C2438F" w:rsidP="00BB3D01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identified </w:t>
      </w:r>
      <w:r w:rsidR="00A971FA">
        <w:rPr>
          <w:sz w:val="24"/>
          <w:szCs w:val="24"/>
        </w:rPr>
        <w:t xml:space="preserve">items of </w:t>
      </w:r>
      <w:r>
        <w:rPr>
          <w:sz w:val="24"/>
          <w:szCs w:val="24"/>
        </w:rPr>
        <w:t>evidence shall be</w:t>
      </w:r>
      <w:r w:rsidR="00BB2DC6">
        <w:rPr>
          <w:sz w:val="24"/>
          <w:szCs w:val="24"/>
        </w:rPr>
        <w:t xml:space="preserve"> documented, photographed, and:</w:t>
      </w:r>
    </w:p>
    <w:p w14:paraId="62DEF728" w14:textId="6270B5BD" w:rsidR="00C2438F" w:rsidRDefault="00C2438F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2DC6">
        <w:rPr>
          <w:sz w:val="24"/>
          <w:szCs w:val="24"/>
        </w:rPr>
        <w:t>Securely transported to the ACCO, or</w:t>
      </w:r>
    </w:p>
    <w:p w14:paraId="18F90C39" w14:textId="304940A2" w:rsidR="00BB2DC6" w:rsidRDefault="00BB2DC6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Released to the investigating law enforcement agency on scene</w:t>
      </w:r>
      <w:r w:rsidR="001667B7">
        <w:rPr>
          <w:sz w:val="24"/>
          <w:szCs w:val="24"/>
        </w:rPr>
        <w:t>.</w:t>
      </w:r>
    </w:p>
    <w:p w14:paraId="0A3FD683" w14:textId="1C234714" w:rsidR="00C2438F" w:rsidRPr="00F36405" w:rsidRDefault="00C2438F" w:rsidP="00BB3D01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  <w:highlight w:val="yellow"/>
        </w:rPr>
      </w:pPr>
      <w:r w:rsidRPr="00F36405">
        <w:rPr>
          <w:sz w:val="24"/>
          <w:szCs w:val="24"/>
          <w:highlight w:val="yellow"/>
        </w:rPr>
        <w:lastRenderedPageBreak/>
        <w:t xml:space="preserve">Prescription medication documentation and collection shall be in accordance with ACCO Policy: </w:t>
      </w:r>
      <w:r w:rsidRPr="00F36405">
        <w:rPr>
          <w:i/>
          <w:iCs/>
          <w:sz w:val="24"/>
          <w:szCs w:val="24"/>
          <w:highlight w:val="yellow"/>
        </w:rPr>
        <w:t>Medication Collection</w:t>
      </w:r>
      <w:r w:rsidRPr="00F36405">
        <w:rPr>
          <w:sz w:val="24"/>
          <w:szCs w:val="24"/>
          <w:highlight w:val="yellow"/>
        </w:rPr>
        <w:t>.</w:t>
      </w:r>
    </w:p>
    <w:p w14:paraId="106A9113" w14:textId="0541433F" w:rsidR="00BB2DC6" w:rsidRDefault="00BB2DC6" w:rsidP="00BB3D01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Any identified currency shall be documented, photographed, and securely transported to the ACCO.</w:t>
      </w:r>
    </w:p>
    <w:p w14:paraId="33BD8ACC" w14:textId="42A7151F" w:rsidR="001667B7" w:rsidRDefault="001667B7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Collected currency shall be inventoried in the ACCO case management system.</w:t>
      </w:r>
    </w:p>
    <w:p w14:paraId="747D4DD7" w14:textId="113FE563" w:rsidR="00BB2DC6" w:rsidRDefault="00BB2DC6" w:rsidP="00BB3D01">
      <w:pPr>
        <w:pStyle w:val="ListParagraph"/>
        <w:numPr>
          <w:ilvl w:val="0"/>
          <w:numId w:val="1"/>
        </w:num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Identified personal valuables shall be documented, photographed, and:</w:t>
      </w:r>
    </w:p>
    <w:p w14:paraId="5B4FCCDF" w14:textId="3F448031" w:rsidR="00BB2DC6" w:rsidRDefault="00BB2DC6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Securely transported to the ACCO, or</w:t>
      </w:r>
    </w:p>
    <w:p w14:paraId="41F6A3B4" w14:textId="7AAFF75D" w:rsidR="00BB2DC6" w:rsidRDefault="00404BB4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Safeguarded</w:t>
      </w:r>
      <w:r w:rsidR="00BB2DC6">
        <w:rPr>
          <w:sz w:val="24"/>
          <w:szCs w:val="24"/>
        </w:rPr>
        <w:t xml:space="preserve"> on scene</w:t>
      </w:r>
      <w:r w:rsidR="007E7B9C">
        <w:rPr>
          <w:sz w:val="24"/>
          <w:szCs w:val="24"/>
        </w:rPr>
        <w:t>.</w:t>
      </w:r>
    </w:p>
    <w:p w14:paraId="6C98A3FF" w14:textId="088EFB26" w:rsidR="00896B88" w:rsidRPr="00032FB1" w:rsidRDefault="001667B7" w:rsidP="00BB3D0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Collected personal valuables shall be inventoried in the ACCO case management system.</w:t>
      </w:r>
    </w:p>
    <w:p w14:paraId="7555B24B" w14:textId="77777777" w:rsidR="00AA7610" w:rsidRDefault="00AA7610" w:rsidP="00012A77">
      <w:pPr>
        <w:pStyle w:val="ListParagraph"/>
        <w:ind w:left="180"/>
      </w:pPr>
    </w:p>
    <w:sectPr w:rsidR="00AA7610" w:rsidSect="003146E8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3FDB2" w14:textId="77777777" w:rsidR="003C0757" w:rsidRDefault="003C0757" w:rsidP="003146E8">
      <w:pPr>
        <w:spacing w:after="0" w:line="240" w:lineRule="auto"/>
      </w:pPr>
      <w:r>
        <w:separator/>
      </w:r>
    </w:p>
  </w:endnote>
  <w:endnote w:type="continuationSeparator" w:id="0">
    <w:p w14:paraId="71AE927A" w14:textId="77777777" w:rsidR="003C0757" w:rsidRDefault="003C0757" w:rsidP="0031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28BE" w14:textId="101B0DB5" w:rsidR="003146E8" w:rsidRPr="003146E8" w:rsidRDefault="003146E8" w:rsidP="003146E8">
    <w:pPr>
      <w:pStyle w:val="Footer"/>
      <w:jc w:val="right"/>
      <w:rPr>
        <w:sz w:val="16"/>
        <w:szCs w:val="16"/>
      </w:rPr>
    </w:pPr>
    <w:r w:rsidRPr="003146E8">
      <w:rPr>
        <w:sz w:val="16"/>
        <w:szCs w:val="16"/>
      </w:rPr>
      <w:fldChar w:fldCharType="begin"/>
    </w:r>
    <w:r w:rsidRPr="003146E8">
      <w:rPr>
        <w:sz w:val="16"/>
        <w:szCs w:val="16"/>
      </w:rPr>
      <w:instrText xml:space="preserve"> FILENAME  \* FirstCap  \* MERGEFORMAT </w:instrText>
    </w:r>
    <w:r w:rsidRPr="003146E8">
      <w:rPr>
        <w:sz w:val="16"/>
        <w:szCs w:val="16"/>
      </w:rPr>
      <w:fldChar w:fldCharType="separate"/>
    </w:r>
    <w:r w:rsidRPr="003146E8">
      <w:rPr>
        <w:noProof/>
        <w:sz w:val="16"/>
        <w:szCs w:val="16"/>
      </w:rPr>
      <w:t>On Scene Evidence and Property Collection</w:t>
    </w:r>
    <w:r w:rsidRPr="003146E8">
      <w:rPr>
        <w:sz w:val="16"/>
        <w:szCs w:val="16"/>
      </w:rPr>
      <w:fldChar w:fldCharType="end"/>
    </w:r>
    <w:r w:rsidRPr="003146E8">
      <w:rPr>
        <w:sz w:val="16"/>
        <w:szCs w:val="16"/>
      </w:rPr>
      <w:t xml:space="preserve"> Page </w:t>
    </w:r>
    <w:r w:rsidRPr="003146E8">
      <w:rPr>
        <w:sz w:val="16"/>
        <w:szCs w:val="16"/>
      </w:rPr>
      <w:fldChar w:fldCharType="begin"/>
    </w:r>
    <w:r w:rsidRPr="003146E8">
      <w:rPr>
        <w:sz w:val="16"/>
        <w:szCs w:val="16"/>
      </w:rPr>
      <w:instrText xml:space="preserve"> PAGE  \* Arabic  \* MERGEFORMAT </w:instrText>
    </w:r>
    <w:r w:rsidRPr="003146E8">
      <w:rPr>
        <w:sz w:val="16"/>
        <w:szCs w:val="16"/>
      </w:rPr>
      <w:fldChar w:fldCharType="separate"/>
    </w:r>
    <w:r w:rsidRPr="003146E8">
      <w:rPr>
        <w:noProof/>
        <w:sz w:val="16"/>
        <w:szCs w:val="16"/>
      </w:rPr>
      <w:t>1</w:t>
    </w:r>
    <w:r w:rsidRPr="003146E8">
      <w:rPr>
        <w:sz w:val="16"/>
        <w:szCs w:val="16"/>
      </w:rPr>
      <w:fldChar w:fldCharType="end"/>
    </w:r>
    <w:r w:rsidRPr="003146E8">
      <w:rPr>
        <w:sz w:val="16"/>
        <w:szCs w:val="16"/>
      </w:rPr>
      <w:t xml:space="preserve"> of </w:t>
    </w:r>
    <w:r w:rsidRPr="003146E8">
      <w:rPr>
        <w:sz w:val="16"/>
        <w:szCs w:val="16"/>
      </w:rPr>
      <w:fldChar w:fldCharType="begin"/>
    </w:r>
    <w:r w:rsidRPr="003146E8">
      <w:rPr>
        <w:sz w:val="16"/>
        <w:szCs w:val="16"/>
      </w:rPr>
      <w:instrText xml:space="preserve"> NUMPAGES  \* Arabic  \* MERGEFORMAT </w:instrText>
    </w:r>
    <w:r w:rsidRPr="003146E8">
      <w:rPr>
        <w:sz w:val="16"/>
        <w:szCs w:val="16"/>
      </w:rPr>
      <w:fldChar w:fldCharType="separate"/>
    </w:r>
    <w:r w:rsidRPr="003146E8">
      <w:rPr>
        <w:noProof/>
        <w:sz w:val="16"/>
        <w:szCs w:val="16"/>
      </w:rPr>
      <w:t>2</w:t>
    </w:r>
    <w:r w:rsidRPr="003146E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D589" w14:textId="77777777" w:rsidR="003C0757" w:rsidRDefault="003C0757" w:rsidP="003146E8">
      <w:pPr>
        <w:spacing w:after="0" w:line="240" w:lineRule="auto"/>
      </w:pPr>
      <w:r>
        <w:separator/>
      </w:r>
    </w:p>
  </w:footnote>
  <w:footnote w:type="continuationSeparator" w:id="0">
    <w:p w14:paraId="49797354" w14:textId="77777777" w:rsidR="003C0757" w:rsidRDefault="003C0757" w:rsidP="00314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02F05"/>
    <w:multiLevelType w:val="hybridMultilevel"/>
    <w:tmpl w:val="DD6CF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84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12A77"/>
    <w:rsid w:val="00032FB1"/>
    <w:rsid w:val="0004302E"/>
    <w:rsid w:val="0004706F"/>
    <w:rsid w:val="000B4577"/>
    <w:rsid w:val="000E4E2F"/>
    <w:rsid w:val="001412B6"/>
    <w:rsid w:val="00150315"/>
    <w:rsid w:val="001667B7"/>
    <w:rsid w:val="00186465"/>
    <w:rsid w:val="002228EE"/>
    <w:rsid w:val="0023644F"/>
    <w:rsid w:val="00263E46"/>
    <w:rsid w:val="0027771A"/>
    <w:rsid w:val="00284201"/>
    <w:rsid w:val="002A3AF8"/>
    <w:rsid w:val="002C30C9"/>
    <w:rsid w:val="002F34FF"/>
    <w:rsid w:val="003146E8"/>
    <w:rsid w:val="003344E5"/>
    <w:rsid w:val="00360BBE"/>
    <w:rsid w:val="00370BE1"/>
    <w:rsid w:val="003A4777"/>
    <w:rsid w:val="003A76EB"/>
    <w:rsid w:val="003C0757"/>
    <w:rsid w:val="00404BB4"/>
    <w:rsid w:val="00435C83"/>
    <w:rsid w:val="00464950"/>
    <w:rsid w:val="00474DF3"/>
    <w:rsid w:val="004A3DA8"/>
    <w:rsid w:val="005C1482"/>
    <w:rsid w:val="005C744D"/>
    <w:rsid w:val="005D47E8"/>
    <w:rsid w:val="005F6EF4"/>
    <w:rsid w:val="00621714"/>
    <w:rsid w:val="0064203A"/>
    <w:rsid w:val="0068238D"/>
    <w:rsid w:val="006A528A"/>
    <w:rsid w:val="006F128D"/>
    <w:rsid w:val="007E3D62"/>
    <w:rsid w:val="007E7B9C"/>
    <w:rsid w:val="0080168A"/>
    <w:rsid w:val="008132C8"/>
    <w:rsid w:val="00896B88"/>
    <w:rsid w:val="008C09FA"/>
    <w:rsid w:val="008F1D8A"/>
    <w:rsid w:val="00945ACD"/>
    <w:rsid w:val="009F3639"/>
    <w:rsid w:val="009F3C23"/>
    <w:rsid w:val="00A11A00"/>
    <w:rsid w:val="00A507CF"/>
    <w:rsid w:val="00A971FA"/>
    <w:rsid w:val="00AA5EF8"/>
    <w:rsid w:val="00AA7610"/>
    <w:rsid w:val="00B27B40"/>
    <w:rsid w:val="00B64238"/>
    <w:rsid w:val="00BB2DC6"/>
    <w:rsid w:val="00BB3D01"/>
    <w:rsid w:val="00C206B5"/>
    <w:rsid w:val="00C2438F"/>
    <w:rsid w:val="00C578A3"/>
    <w:rsid w:val="00C76AC3"/>
    <w:rsid w:val="00C96D04"/>
    <w:rsid w:val="00CE4809"/>
    <w:rsid w:val="00D93DE6"/>
    <w:rsid w:val="00DB5B73"/>
    <w:rsid w:val="00DC54AE"/>
    <w:rsid w:val="00E4651B"/>
    <w:rsid w:val="00E52348"/>
    <w:rsid w:val="00ED44DB"/>
    <w:rsid w:val="00ED5DC2"/>
    <w:rsid w:val="00EF2117"/>
    <w:rsid w:val="00EF60F6"/>
    <w:rsid w:val="00F059F0"/>
    <w:rsid w:val="00F235D6"/>
    <w:rsid w:val="00F2378B"/>
    <w:rsid w:val="00F36405"/>
    <w:rsid w:val="00F8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6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4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6E8"/>
  </w:style>
  <w:style w:type="paragraph" w:styleId="Footer">
    <w:name w:val="footer"/>
    <w:basedOn w:val="Normal"/>
    <w:link w:val="FooterChar"/>
    <w:uiPriority w:val="99"/>
    <w:unhideWhenUsed/>
    <w:rsid w:val="00314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9EDCF2-810D-4762-A48B-B23B2B79999D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416942f-d982-4ba4-a5b0-104826b4be24"/>
    <ds:schemaRef ds:uri="8ef27eb8-0e3d-496f-b523-771757bdd770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8720AD1-9EE5-465B-AC32-805CAF9BC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DCD1D-8115-4DCC-A5A8-6969B96F9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Chisholm, Yujiemi</cp:lastModifiedBy>
  <cp:revision>2</cp:revision>
  <cp:lastPrinted>2023-04-07T17:20:00Z</cp:lastPrinted>
  <dcterms:created xsi:type="dcterms:W3CDTF">2025-05-21T12:48:00Z</dcterms:created>
  <dcterms:modified xsi:type="dcterms:W3CDTF">2025-05-21T12:48:00Z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f352ac927f4bb51ba098e0dd6856e13321159f6b9fbe30a648d9aeaa422e41be</vt:lpwstr>
  </property>
  <property fmtid="{D5CDD505-2E9C-101B-9397-08002B2CF9AE}" pid="3" name="ContentTypeId">
    <vt:lpwstr>0x0101002FE5814883B49940B4B8AAE202A6E984</vt:lpwstr>
  </property>
</Properties>
</file>