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35C83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573BD9DB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7132E93F" w:rsidR="00435C83" w:rsidRPr="00C96D04" w:rsidRDefault="00C45EEE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SOCIAL MEDIA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051D4EEC" w:rsidR="00435C83" w:rsidRPr="00C96D04" w:rsidRDefault="00AF32D1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PS.1.05</w:t>
            </w:r>
          </w:p>
        </w:tc>
      </w:tr>
      <w:tr w:rsidR="00E9699C" w14:paraId="053E9FC0" w14:textId="71F50D38" w:rsidTr="00B71388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E9699C" w:rsidRDefault="00E9699C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E9699C" w:rsidRPr="00C96D04" w:rsidRDefault="00E9699C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6F94BE28" w:rsidR="00E9699C" w:rsidRPr="00C96D04" w:rsidRDefault="00E9699C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Administration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E9699C" w:rsidRPr="00C96D04" w:rsidRDefault="00E9699C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10FE288F" w:rsidR="00E9699C" w:rsidRPr="00E9699C" w:rsidRDefault="00E9699C" w:rsidP="00E9699C">
            <w:pPr>
              <w:jc w:val="center"/>
              <w:rPr>
                <w:rFonts w:cstheme="minorHAnsi"/>
              </w:rPr>
            </w:pPr>
            <w:r w:rsidRPr="00E9699C">
              <w:rPr>
                <w:rFonts w:cstheme="minorHAnsi"/>
              </w:rPr>
              <w:t xml:space="preserve">Page </w:t>
            </w:r>
            <w:r w:rsidRPr="00E9699C">
              <w:rPr>
                <w:rFonts w:cstheme="minorHAnsi"/>
              </w:rPr>
              <w:fldChar w:fldCharType="begin"/>
            </w:r>
            <w:r w:rsidRPr="00E9699C">
              <w:rPr>
                <w:rFonts w:cstheme="minorHAnsi"/>
              </w:rPr>
              <w:instrText xml:space="preserve"> PAGE  \* Arabic  \* MERGEFORMAT </w:instrText>
            </w:r>
            <w:r w:rsidRPr="00E9699C">
              <w:rPr>
                <w:rFonts w:cstheme="minorHAnsi"/>
              </w:rPr>
              <w:fldChar w:fldCharType="separate"/>
            </w:r>
            <w:r w:rsidRPr="00E9699C">
              <w:rPr>
                <w:rFonts w:cstheme="minorHAnsi"/>
                <w:noProof/>
              </w:rPr>
              <w:t>1</w:t>
            </w:r>
            <w:r w:rsidRPr="00E9699C">
              <w:rPr>
                <w:rFonts w:cstheme="minorHAnsi"/>
              </w:rPr>
              <w:fldChar w:fldCharType="end"/>
            </w:r>
            <w:r w:rsidRPr="00E9699C">
              <w:rPr>
                <w:rFonts w:cstheme="minorHAnsi"/>
              </w:rPr>
              <w:t xml:space="preserve"> of </w:t>
            </w:r>
            <w:r w:rsidRPr="00E9699C">
              <w:rPr>
                <w:rFonts w:cstheme="minorHAnsi"/>
              </w:rPr>
              <w:fldChar w:fldCharType="begin"/>
            </w:r>
            <w:r w:rsidRPr="00E9699C">
              <w:rPr>
                <w:rFonts w:cstheme="minorHAnsi"/>
              </w:rPr>
              <w:instrText xml:space="preserve"> NUMPAGES  \* Arabic  \* MERGEFORMAT </w:instrText>
            </w:r>
            <w:r w:rsidRPr="00E9699C">
              <w:rPr>
                <w:rFonts w:cstheme="minorHAnsi"/>
              </w:rPr>
              <w:fldChar w:fldCharType="separate"/>
            </w:r>
            <w:r w:rsidRPr="00E9699C">
              <w:rPr>
                <w:rFonts w:cstheme="minorHAnsi"/>
                <w:noProof/>
              </w:rPr>
              <w:t>2</w:t>
            </w:r>
            <w:r w:rsidRPr="00E9699C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747E709A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0B444D11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5B2C781E" w:rsidR="00F059F0" w:rsidRPr="00C96D04" w:rsidRDefault="00773BB9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F2d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46A689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7D77E8B3" w:rsidR="00F059F0" w:rsidRPr="00C96D04" w:rsidRDefault="00A67368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8A089AC" wp14:editId="4E2CF014">
                  <wp:simplePos x="0" y="0"/>
                  <wp:positionH relativeFrom="column">
                    <wp:posOffset>-424815</wp:posOffset>
                  </wp:positionH>
                  <wp:positionV relativeFrom="paragraph">
                    <wp:posOffset>-640715</wp:posOffset>
                  </wp:positionV>
                  <wp:extent cx="2516505" cy="62928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505" cy="62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00B0F0"/>
                <w:sz w:val="24"/>
                <w:szCs w:val="24"/>
              </w:rPr>
              <w:t>02-16-2024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079E3F0D" w:rsidR="00F059F0" w:rsidRPr="00C96D04" w:rsidRDefault="003B5ED1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773BB9">
              <w:rPr>
                <w:rFonts w:cstheme="minorHAnsi"/>
              </w:rPr>
              <w:t>A5</w:t>
            </w:r>
            <w:r w:rsidR="00E66655">
              <w:rPr>
                <w:rFonts w:cstheme="minorHAnsi"/>
              </w:rPr>
              <w:t>e,A6i</w:t>
            </w:r>
          </w:p>
        </w:tc>
      </w:tr>
    </w:tbl>
    <w:p w14:paraId="42719AAA" w14:textId="2E218844" w:rsidR="003032D3" w:rsidRDefault="00683E5F">
      <w:r>
        <w:rPr>
          <w:noProof/>
        </w:rPr>
        <w:drawing>
          <wp:anchor distT="0" distB="0" distL="114300" distR="114300" simplePos="0" relativeHeight="251658240" behindDoc="0" locked="0" layoutInCell="1" allowOverlap="1" wp14:anchorId="00B36450" wp14:editId="3102D559">
            <wp:simplePos x="0" y="0"/>
            <wp:positionH relativeFrom="column">
              <wp:posOffset>-352425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42BDD4" w14:textId="77777777" w:rsidR="00BC3918" w:rsidRPr="00BC3918" w:rsidRDefault="00BC3918" w:rsidP="00BC3918"/>
    <w:p w14:paraId="23793340" w14:textId="04862B2D" w:rsidR="00BC3918" w:rsidRDefault="00BC3918" w:rsidP="00BC3918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 w:rsidRPr="00BC3918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</w:t>
      </w:r>
      <w:r w:rsidR="002E55FB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URPOSE:</w:t>
      </w:r>
    </w:p>
    <w:p w14:paraId="00ED61F5" w14:textId="0086780E" w:rsidR="002E55FB" w:rsidRPr="00BC3918" w:rsidRDefault="002E55FB" w:rsidP="002E55FB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BC3918">
        <w:rPr>
          <w:rFonts w:eastAsia="Times New Roman" w:cstheme="minorHAnsi"/>
          <w:color w:val="000000"/>
          <w:sz w:val="24"/>
          <w:szCs w:val="24"/>
        </w:rPr>
        <w:t xml:space="preserve">To describe the guidelines adopted by the Ada County Coroner’s Office (ACCO) to govern social </w:t>
      </w:r>
      <w:r w:rsidR="00A67368">
        <w:rPr>
          <w:rFonts w:eastAsia="Times New Roman" w:cstheme="minorHAnsi"/>
          <w:color w:val="000000"/>
          <w:sz w:val="24"/>
          <w:szCs w:val="24"/>
        </w:rPr>
        <w:t>media communications both of employees while engaging in online conversations as representatives of the ACCO</w:t>
      </w:r>
      <w:r w:rsidRPr="00BC3918">
        <w:rPr>
          <w:rFonts w:eastAsia="Times New Roman" w:cstheme="minorHAnsi"/>
          <w:color w:val="000000"/>
          <w:sz w:val="24"/>
          <w:szCs w:val="24"/>
        </w:rPr>
        <w:t xml:space="preserve"> and in non-ACCO social media in which the employee’s affiliation is either known, identified, or presumed. </w:t>
      </w:r>
    </w:p>
    <w:p w14:paraId="2A3318C4" w14:textId="77777777" w:rsidR="002E55FB" w:rsidRDefault="002E55FB" w:rsidP="00BC3918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7D32AC3B" w14:textId="77777777" w:rsidR="002E55FB" w:rsidRPr="00BC3918" w:rsidRDefault="002E55FB" w:rsidP="002E55FB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BC3918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BC3918">
        <w:rPr>
          <w:rFonts w:eastAsia="Times New Roman" w:cstheme="minorHAnsi"/>
          <w:color w:val="000000"/>
          <w:sz w:val="24"/>
          <w:szCs w:val="24"/>
        </w:rPr>
        <w:t>:</w:t>
      </w:r>
    </w:p>
    <w:p w14:paraId="27DBE6E4" w14:textId="7B737FD9" w:rsidR="00BC3918" w:rsidRPr="00F75063" w:rsidRDefault="00BC3918" w:rsidP="00BC391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  <w:highlight w:val="yellow"/>
        </w:rPr>
      </w:pPr>
      <w:r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It is the policy of the ACCO to encourage clear and effective communication using a variety of accepted tools, including social media. As with other forms of communication, use of social media must meet tests of credibility, privacy, authority, and accountability. </w:t>
      </w:r>
    </w:p>
    <w:p w14:paraId="3A359344" w14:textId="5739598A" w:rsidR="00BC3918" w:rsidRDefault="000B1A95" w:rsidP="00BC391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Neither the ACCO nor Ada County </w:t>
      </w:r>
      <w:r w:rsidR="00BF7FCC"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shall </w:t>
      </w:r>
      <w:r w:rsidRPr="00F75063">
        <w:rPr>
          <w:rFonts w:eastAsia="Times New Roman" w:cstheme="minorHAnsi"/>
          <w:color w:val="000000"/>
          <w:sz w:val="24"/>
          <w:szCs w:val="24"/>
          <w:highlight w:val="yellow"/>
        </w:rPr>
        <w:t>assume responsibilit</w:t>
      </w:r>
      <w:r w:rsidR="00BF7FCC" w:rsidRPr="00F75063">
        <w:rPr>
          <w:rFonts w:eastAsia="Times New Roman" w:cstheme="minorHAnsi"/>
          <w:color w:val="000000"/>
          <w:sz w:val="24"/>
          <w:szCs w:val="24"/>
          <w:highlight w:val="yellow"/>
        </w:rPr>
        <w:t>y</w:t>
      </w:r>
      <w:r w:rsidR="00A67368"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or be held liable</w:t>
      </w:r>
      <w:r w:rsidR="00BF7FCC"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for the</w:t>
      </w:r>
      <w:r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personal content shared through social media by an employee.</w:t>
      </w:r>
      <w:r w:rsidR="00C97FF6" w:rsidRPr="00F75063">
        <w:rPr>
          <w:rFonts w:eastAsia="Times New Roman" w:cstheme="minorHAnsi"/>
          <w:color w:val="000000"/>
          <w:sz w:val="24"/>
          <w:szCs w:val="24"/>
          <w:highlight w:val="yellow"/>
        </w:rPr>
        <w:t xml:space="preserve"> This </w:t>
      </w:r>
      <w:r w:rsidR="002E55FB" w:rsidRPr="00F75063">
        <w:rPr>
          <w:rFonts w:eastAsia="Times New Roman" w:cstheme="minorHAnsi"/>
          <w:color w:val="000000"/>
          <w:sz w:val="24"/>
          <w:szCs w:val="24"/>
          <w:highlight w:val="yellow"/>
        </w:rPr>
        <w:t>p</w:t>
      </w:r>
      <w:r w:rsidR="00C97FF6" w:rsidRPr="00F75063">
        <w:rPr>
          <w:rFonts w:eastAsia="Times New Roman" w:cstheme="minorHAnsi"/>
          <w:color w:val="000000"/>
          <w:sz w:val="24"/>
          <w:szCs w:val="24"/>
          <w:highlight w:val="yellow"/>
        </w:rPr>
        <w:t>olicy excludes Constitutionally protected rights to free speech.</w:t>
      </w:r>
    </w:p>
    <w:p w14:paraId="60028626" w14:textId="77777777" w:rsidR="003032D3" w:rsidRPr="00BC3918" w:rsidRDefault="003032D3" w:rsidP="00BC391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345F7AC2" w14:textId="77777777" w:rsidR="00BC3918" w:rsidRPr="00BC3918" w:rsidRDefault="00BC3918" w:rsidP="00BC3918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 w:rsidRPr="00BC3918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PROCEDURE:</w:t>
      </w:r>
    </w:p>
    <w:p w14:paraId="0934D647" w14:textId="1D065851" w:rsidR="00A87292" w:rsidRPr="006725B7" w:rsidRDefault="00A87292" w:rsidP="003B2E0A">
      <w:pPr>
        <w:numPr>
          <w:ilvl w:val="0"/>
          <w:numId w:val="1"/>
        </w:numPr>
        <w:spacing w:before="161" w:line="276" w:lineRule="auto"/>
        <w:ind w:left="180" w:right="144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6725B7">
        <w:rPr>
          <w:rFonts w:eastAsia="Times New Roman" w:cstheme="minorHAnsi"/>
          <w:b/>
          <w:bCs/>
          <w:color w:val="000000"/>
          <w:sz w:val="24"/>
          <w:szCs w:val="24"/>
        </w:rPr>
        <w:t>Representatives of the ACCO</w:t>
      </w:r>
    </w:p>
    <w:p w14:paraId="1776D101" w14:textId="2FB09537" w:rsidR="00A87292" w:rsidRDefault="00BF7FCC" w:rsidP="003B2E0A">
      <w:pPr>
        <w:numPr>
          <w:ilvl w:val="1"/>
          <w:numId w:val="1"/>
        </w:numPr>
        <w:spacing w:before="161" w:line="276" w:lineRule="auto"/>
        <w:ind w:left="90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Authorized personnel engaging in social media </w:t>
      </w:r>
      <w:r w:rsidR="003713B9">
        <w:rPr>
          <w:rFonts w:eastAsia="Times New Roman" w:cstheme="minorHAnsi"/>
          <w:color w:val="000000"/>
          <w:sz w:val="24"/>
          <w:szCs w:val="24"/>
        </w:rPr>
        <w:t xml:space="preserve">communication </w:t>
      </w:r>
      <w:r w:rsidR="00C97FF6">
        <w:rPr>
          <w:rFonts w:eastAsia="Times New Roman" w:cstheme="minorHAnsi"/>
          <w:color w:val="000000"/>
          <w:sz w:val="24"/>
          <w:szCs w:val="24"/>
        </w:rPr>
        <w:t>as representatives</w:t>
      </w:r>
      <w:r>
        <w:rPr>
          <w:rFonts w:eastAsia="Times New Roman" w:cstheme="minorHAnsi"/>
          <w:color w:val="000000"/>
          <w:sz w:val="24"/>
          <w:szCs w:val="24"/>
        </w:rPr>
        <w:t xml:space="preserve"> the ACCO shall obtain additional authorization from the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Coroner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>, or their designee, for the following:</w:t>
      </w:r>
    </w:p>
    <w:p w14:paraId="3F0C912A" w14:textId="402A98EE" w:rsidR="00BF7FCC" w:rsidRDefault="00BF7FCC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creation of</w:t>
      </w:r>
      <w:r w:rsidR="00C97FF6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861B0">
        <w:rPr>
          <w:rFonts w:eastAsia="Times New Roman" w:cstheme="minorHAnsi"/>
          <w:color w:val="000000"/>
          <w:sz w:val="24"/>
          <w:szCs w:val="24"/>
        </w:rPr>
        <w:t xml:space="preserve">a </w:t>
      </w:r>
      <w:r>
        <w:rPr>
          <w:rFonts w:eastAsia="Times New Roman" w:cstheme="minorHAnsi"/>
          <w:color w:val="000000"/>
          <w:sz w:val="24"/>
          <w:szCs w:val="24"/>
        </w:rPr>
        <w:t xml:space="preserve">social media presence </w:t>
      </w:r>
    </w:p>
    <w:p w14:paraId="6264B6F5" w14:textId="61D3C211" w:rsidR="00BF7FCC" w:rsidRDefault="00BF7FCC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Utilizing ACCO seals, logos, emblems and/or photographs</w:t>
      </w:r>
    </w:p>
    <w:p w14:paraId="13C8F61F" w14:textId="176A7B68" w:rsidR="00BF7FCC" w:rsidRDefault="006725B7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Website and profile design</w:t>
      </w:r>
    </w:p>
    <w:p w14:paraId="6B0CF9D4" w14:textId="3D39BC73" w:rsidR="006725B7" w:rsidRDefault="006725B7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Communication regarding opinion and</w:t>
      </w:r>
      <w:r w:rsidR="00423B6D">
        <w:rPr>
          <w:rFonts w:eastAsia="Times New Roman" w:cstheme="minorHAnsi"/>
          <w:color w:val="000000"/>
          <w:sz w:val="24"/>
          <w:szCs w:val="24"/>
        </w:rPr>
        <w:t xml:space="preserve"> case</w:t>
      </w:r>
      <w:r>
        <w:rPr>
          <w:rFonts w:eastAsia="Times New Roman" w:cstheme="minorHAnsi"/>
          <w:color w:val="000000"/>
          <w:sz w:val="24"/>
          <w:szCs w:val="24"/>
        </w:rPr>
        <w:t xml:space="preserve"> information</w:t>
      </w:r>
    </w:p>
    <w:p w14:paraId="4DF54343" w14:textId="7FB977C6" w:rsidR="00BC3918" w:rsidRPr="003713B9" w:rsidRDefault="00A87292" w:rsidP="003B2E0A">
      <w:pPr>
        <w:numPr>
          <w:ilvl w:val="0"/>
          <w:numId w:val="1"/>
        </w:numPr>
        <w:spacing w:before="161" w:line="276" w:lineRule="auto"/>
        <w:ind w:left="180" w:right="144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3713B9">
        <w:rPr>
          <w:rFonts w:eastAsia="Times New Roman" w:cstheme="minorHAnsi"/>
          <w:b/>
          <w:bCs/>
          <w:color w:val="000000"/>
          <w:sz w:val="24"/>
          <w:szCs w:val="24"/>
        </w:rPr>
        <w:t>Non-ACCO Social Media</w:t>
      </w:r>
    </w:p>
    <w:p w14:paraId="6F328B9F" w14:textId="7163C90A" w:rsidR="00BC3918" w:rsidRPr="00A01D26" w:rsidRDefault="00A01D26" w:rsidP="003B2E0A">
      <w:pPr>
        <w:numPr>
          <w:ilvl w:val="1"/>
          <w:numId w:val="1"/>
        </w:numPr>
        <w:spacing w:before="161" w:line="276" w:lineRule="auto"/>
        <w:ind w:left="90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01D26">
        <w:rPr>
          <w:rFonts w:eastAsia="Times New Roman" w:cstheme="minorHAnsi"/>
          <w:color w:val="000000"/>
          <w:sz w:val="24"/>
          <w:szCs w:val="24"/>
        </w:rPr>
        <w:t>Employees are prohibited from</w:t>
      </w:r>
      <w:r w:rsidR="009908F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23B6D">
        <w:rPr>
          <w:rFonts w:eastAsia="Times New Roman" w:cstheme="minorHAnsi"/>
          <w:color w:val="000000"/>
          <w:sz w:val="24"/>
          <w:szCs w:val="24"/>
        </w:rPr>
        <w:t xml:space="preserve">personal </w:t>
      </w:r>
      <w:r w:rsidR="009908FA">
        <w:rPr>
          <w:rFonts w:eastAsia="Times New Roman" w:cstheme="minorHAnsi"/>
          <w:color w:val="000000"/>
          <w:sz w:val="24"/>
          <w:szCs w:val="24"/>
        </w:rPr>
        <w:t>social media communications regarding</w:t>
      </w:r>
      <w:r w:rsidRPr="00A01D26">
        <w:rPr>
          <w:rFonts w:eastAsia="Times New Roman" w:cstheme="minorHAnsi"/>
          <w:color w:val="000000"/>
          <w:sz w:val="24"/>
          <w:szCs w:val="24"/>
        </w:rPr>
        <w:t>:</w:t>
      </w:r>
    </w:p>
    <w:p w14:paraId="22BEDAA6" w14:textId="67EAA3F7" w:rsidR="00180E07" w:rsidRPr="00180E07" w:rsidRDefault="00180E07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lastRenderedPageBreak/>
        <w:t>ACCO and partnering agency operations</w:t>
      </w:r>
    </w:p>
    <w:p w14:paraId="31D9AC17" w14:textId="226AE960" w:rsidR="00EE543B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Case </w:t>
      </w:r>
      <w:r w:rsidR="002861B0">
        <w:rPr>
          <w:rFonts w:eastAsia="Times New Roman" w:cstheme="minorHAnsi"/>
          <w:color w:val="000000"/>
          <w:sz w:val="24"/>
          <w:szCs w:val="24"/>
        </w:rPr>
        <w:t>information</w:t>
      </w:r>
    </w:p>
    <w:p w14:paraId="7868E227" w14:textId="074E56E9" w:rsidR="00180E07" w:rsidRDefault="00180E07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Decedent information</w:t>
      </w:r>
    </w:p>
    <w:p w14:paraId="03534863" w14:textId="77777777" w:rsidR="00EE543B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Confidential information</w:t>
      </w:r>
    </w:p>
    <w:p w14:paraId="6F044412" w14:textId="77777777" w:rsidR="00EE543B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Protected Health Information (PHI)</w:t>
      </w:r>
    </w:p>
    <w:p w14:paraId="40BD22C0" w14:textId="74E39F3A" w:rsidR="00BC3918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Images, photographs, and video obtained while in performance of duty, and without</w:t>
      </w:r>
      <w:r w:rsidR="00A01D26" w:rsidRPr="00EE543B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the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Coroner’s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authorization</w:t>
      </w:r>
    </w:p>
    <w:p w14:paraId="0FA2A08F" w14:textId="5A584335" w:rsidR="00EE543B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Professional misconduct and/or illegal behavior</w:t>
      </w:r>
    </w:p>
    <w:p w14:paraId="07172432" w14:textId="7076774C" w:rsidR="00BF7107" w:rsidRDefault="00180E07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V</w:t>
      </w:r>
      <w:r w:rsidR="00BF7107">
        <w:rPr>
          <w:rFonts w:eastAsia="Times New Roman" w:cstheme="minorHAnsi"/>
          <w:color w:val="000000"/>
          <w:sz w:val="24"/>
          <w:szCs w:val="24"/>
        </w:rPr>
        <w:t>iolation of state and federally protected rights</w:t>
      </w:r>
    </w:p>
    <w:p w14:paraId="1C31AD55" w14:textId="54DB62EE" w:rsidR="00EE543B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Libel, copyright and/or trademark infringement</w:t>
      </w:r>
    </w:p>
    <w:p w14:paraId="0AFC289F" w14:textId="53EEF11D" w:rsidR="00EE543B" w:rsidRPr="00EE543B" w:rsidRDefault="00EE543B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Misrepresentation of the ACCO</w:t>
      </w:r>
    </w:p>
    <w:p w14:paraId="439162DD" w14:textId="7A9C7578" w:rsidR="00BC3918" w:rsidRPr="00BC3918" w:rsidRDefault="00180E07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Any communication</w:t>
      </w:r>
      <w:r w:rsidR="00EE543B">
        <w:rPr>
          <w:rFonts w:eastAsia="Times New Roman" w:cstheme="minorHAnsi"/>
          <w:color w:val="000000"/>
          <w:sz w:val="24"/>
          <w:szCs w:val="24"/>
        </w:rPr>
        <w:t xml:space="preserve"> that erodes confidence in the ACCO</w:t>
      </w:r>
    </w:p>
    <w:p w14:paraId="1BFA9442" w14:textId="584C9B91" w:rsidR="00BC3918" w:rsidRPr="00A44ACC" w:rsidRDefault="00BC3918" w:rsidP="003B2E0A">
      <w:pPr>
        <w:numPr>
          <w:ilvl w:val="0"/>
          <w:numId w:val="1"/>
        </w:numPr>
        <w:spacing w:before="161" w:line="276" w:lineRule="auto"/>
        <w:ind w:left="180" w:right="144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BC3918">
        <w:rPr>
          <w:rFonts w:eastAsia="Times New Roman" w:cstheme="minorHAnsi"/>
          <w:b/>
          <w:bCs/>
          <w:color w:val="000000"/>
          <w:sz w:val="24"/>
          <w:szCs w:val="24"/>
        </w:rPr>
        <w:t>Guidelines</w:t>
      </w:r>
    </w:p>
    <w:p w14:paraId="0DF8E5C4" w14:textId="41F4A353" w:rsidR="00BC3918" w:rsidRDefault="00B24E8C" w:rsidP="003B2E0A">
      <w:pPr>
        <w:numPr>
          <w:ilvl w:val="1"/>
          <w:numId w:val="1"/>
        </w:numPr>
        <w:spacing w:before="161" w:line="276" w:lineRule="auto"/>
        <w:ind w:left="90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80E07">
        <w:rPr>
          <w:rFonts w:eastAsia="Times New Roman" w:cstheme="minorHAnsi"/>
          <w:color w:val="000000"/>
          <w:sz w:val="24"/>
          <w:szCs w:val="24"/>
        </w:rPr>
        <w:t>ensure security of confidential information</w:t>
      </w:r>
      <w:r w:rsidR="00881358">
        <w:rPr>
          <w:rFonts w:eastAsia="Times New Roman" w:cstheme="minorHAnsi"/>
          <w:color w:val="000000"/>
          <w:sz w:val="24"/>
          <w:szCs w:val="24"/>
        </w:rPr>
        <w:t>, employees shall</w:t>
      </w:r>
      <w:r w:rsidR="00180E07">
        <w:rPr>
          <w:rFonts w:eastAsia="Times New Roman" w:cstheme="minorHAnsi"/>
          <w:color w:val="000000"/>
          <w:sz w:val="24"/>
          <w:szCs w:val="24"/>
        </w:rPr>
        <w:t>:</w:t>
      </w:r>
    </w:p>
    <w:p w14:paraId="11C397D1" w14:textId="0A6417C5" w:rsidR="00BC3918" w:rsidRDefault="00881358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Act responsibly</w:t>
      </w:r>
      <w:r w:rsidR="002861B0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>ethically, and with respect</w:t>
      </w:r>
      <w:r w:rsidR="00727D36">
        <w:rPr>
          <w:rFonts w:eastAsia="Times New Roman" w:cstheme="minorHAnsi"/>
          <w:color w:val="000000"/>
          <w:sz w:val="24"/>
          <w:szCs w:val="24"/>
        </w:rPr>
        <w:t>.</w:t>
      </w:r>
    </w:p>
    <w:p w14:paraId="7FA7116B" w14:textId="3CF087C1" w:rsidR="00BC3918" w:rsidRDefault="00881358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Not comment on ACCO matters without authorization from the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Coroner</w:t>
      </w:r>
      <w:proofErr w:type="gramEnd"/>
      <w:r w:rsidR="00727D36">
        <w:rPr>
          <w:rFonts w:eastAsia="Times New Roman" w:cstheme="minorHAnsi"/>
          <w:color w:val="000000"/>
          <w:sz w:val="24"/>
          <w:szCs w:val="24"/>
        </w:rPr>
        <w:t>.</w:t>
      </w:r>
    </w:p>
    <w:p w14:paraId="781FCDEC" w14:textId="7294D0E0" w:rsidR="00BC3918" w:rsidRDefault="00881358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Not respond to an offensive or negative comment regarding the ACCO</w:t>
      </w:r>
      <w:r w:rsidR="00727D36">
        <w:rPr>
          <w:rFonts w:eastAsia="Times New Roman" w:cstheme="minorHAnsi"/>
          <w:color w:val="000000"/>
          <w:sz w:val="24"/>
          <w:szCs w:val="24"/>
        </w:rPr>
        <w:t>.</w:t>
      </w:r>
    </w:p>
    <w:p w14:paraId="711C11AB" w14:textId="521E1271" w:rsidR="00BC3918" w:rsidRDefault="00881358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Assume everything communicated on social media is public, regardless of </w:t>
      </w:r>
      <w:r w:rsidR="002861B0">
        <w:rPr>
          <w:rFonts w:eastAsia="Times New Roman" w:cstheme="minorHAnsi"/>
          <w:color w:val="000000"/>
          <w:sz w:val="24"/>
          <w:szCs w:val="24"/>
        </w:rPr>
        <w:t xml:space="preserve">personal </w:t>
      </w:r>
      <w:r>
        <w:rPr>
          <w:rFonts w:eastAsia="Times New Roman" w:cstheme="minorHAnsi"/>
          <w:color w:val="000000"/>
          <w:sz w:val="24"/>
          <w:szCs w:val="24"/>
        </w:rPr>
        <w:t>privacy settings</w:t>
      </w:r>
      <w:r w:rsidR="00727D36">
        <w:rPr>
          <w:rFonts w:eastAsia="Times New Roman" w:cstheme="minorHAnsi"/>
          <w:color w:val="000000"/>
          <w:sz w:val="24"/>
          <w:szCs w:val="24"/>
        </w:rPr>
        <w:t>.</w:t>
      </w:r>
    </w:p>
    <w:p w14:paraId="5E4A7482" w14:textId="66B656A2" w:rsidR="00BC3918" w:rsidRDefault="00881358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Address work conflicts with the appropriate personnel</w:t>
      </w:r>
      <w:r w:rsidR="00727D36">
        <w:rPr>
          <w:rFonts w:eastAsia="Times New Roman" w:cstheme="minorHAnsi"/>
          <w:color w:val="000000"/>
          <w:sz w:val="24"/>
          <w:szCs w:val="24"/>
        </w:rPr>
        <w:t>.</w:t>
      </w:r>
    </w:p>
    <w:p w14:paraId="6C3FC35D" w14:textId="7C268008" w:rsidR="00BC3918" w:rsidRPr="00BC3918" w:rsidRDefault="00041DF6" w:rsidP="003B2E0A">
      <w:pPr>
        <w:numPr>
          <w:ilvl w:val="2"/>
          <w:numId w:val="1"/>
        </w:numPr>
        <w:spacing w:before="161" w:line="276" w:lineRule="auto"/>
        <w:ind w:left="162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Adhere to relevant Ada County policy directly applying to the use of social media</w:t>
      </w:r>
      <w:r w:rsidR="00727D36">
        <w:rPr>
          <w:rFonts w:eastAsia="Times New Roman" w:cstheme="minorHAnsi"/>
          <w:color w:val="000000"/>
          <w:sz w:val="24"/>
          <w:szCs w:val="24"/>
        </w:rPr>
        <w:t>.</w:t>
      </w:r>
    </w:p>
    <w:p w14:paraId="77166890" w14:textId="6D6B918F" w:rsidR="00BC3918" w:rsidRPr="00881358" w:rsidRDefault="00BC3918" w:rsidP="003B2E0A">
      <w:pPr>
        <w:numPr>
          <w:ilvl w:val="0"/>
          <w:numId w:val="1"/>
        </w:numPr>
        <w:spacing w:before="161" w:line="276" w:lineRule="auto"/>
        <w:ind w:left="180" w:right="144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BC3918">
        <w:rPr>
          <w:rFonts w:eastAsia="Times New Roman" w:cstheme="minorHAnsi"/>
          <w:b/>
          <w:bCs/>
          <w:color w:val="000000"/>
          <w:sz w:val="24"/>
          <w:szCs w:val="24"/>
        </w:rPr>
        <w:t>Regulations</w:t>
      </w:r>
    </w:p>
    <w:p w14:paraId="52BC0ECA" w14:textId="49AE3FD3" w:rsidR="00BC3918" w:rsidRDefault="00881358" w:rsidP="003B2E0A">
      <w:pPr>
        <w:numPr>
          <w:ilvl w:val="1"/>
          <w:numId w:val="1"/>
        </w:numPr>
        <w:spacing w:before="161" w:line="276" w:lineRule="auto"/>
        <w:ind w:left="90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Social media conversations are subject to the </w:t>
      </w:r>
      <w:r w:rsidR="002861B0">
        <w:rPr>
          <w:rFonts w:eastAsia="Times New Roman" w:cstheme="minorHAnsi"/>
          <w:color w:val="000000"/>
          <w:sz w:val="24"/>
          <w:szCs w:val="24"/>
        </w:rPr>
        <w:t xml:space="preserve">associated </w:t>
      </w:r>
      <w:r>
        <w:rPr>
          <w:rFonts w:eastAsia="Times New Roman" w:cstheme="minorHAnsi"/>
          <w:color w:val="000000"/>
          <w:sz w:val="24"/>
          <w:szCs w:val="24"/>
        </w:rPr>
        <w:t xml:space="preserve">company’s Terms of Service. Legal implications may occur regarding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any and all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 xml:space="preserve"> information disclosed.</w:t>
      </w:r>
    </w:p>
    <w:p w14:paraId="5AF01D96" w14:textId="3701B662" w:rsidR="00402121" w:rsidRPr="003C72C1" w:rsidRDefault="00041DF6" w:rsidP="00C45EEE">
      <w:pPr>
        <w:numPr>
          <w:ilvl w:val="1"/>
          <w:numId w:val="1"/>
        </w:numPr>
        <w:spacing w:before="161" w:line="276" w:lineRule="auto"/>
        <w:ind w:left="900" w:right="144"/>
        <w:contextualSpacing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Content published on behalf of the ACCO is subject to the laws and regulations governing information storage, retrieval, disclosure, and public information requests.</w:t>
      </w:r>
    </w:p>
    <w:p w14:paraId="6226D8DF" w14:textId="4EAB6995" w:rsidR="0064203A" w:rsidRPr="003032D3" w:rsidRDefault="0064203A" w:rsidP="003032D3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sectPr w:rsidR="0064203A" w:rsidRPr="003032D3" w:rsidSect="003C72C1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135C3" w14:textId="77777777" w:rsidR="00F74D99" w:rsidRDefault="00F74D99" w:rsidP="003C72C1">
      <w:pPr>
        <w:spacing w:after="0" w:line="240" w:lineRule="auto"/>
      </w:pPr>
      <w:r>
        <w:separator/>
      </w:r>
    </w:p>
  </w:endnote>
  <w:endnote w:type="continuationSeparator" w:id="0">
    <w:p w14:paraId="288EAEB7" w14:textId="77777777" w:rsidR="00F74D99" w:rsidRDefault="00F74D99" w:rsidP="003C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41FD" w14:textId="16984655" w:rsidR="003C72C1" w:rsidRPr="003C72C1" w:rsidRDefault="003578D2" w:rsidP="003C72C1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Social Media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="003C72C1" w:rsidRPr="003C72C1">
      <w:rPr>
        <w:sz w:val="16"/>
        <w:szCs w:val="16"/>
      </w:rPr>
      <w:t xml:space="preserve">Page </w:t>
    </w:r>
    <w:r w:rsidR="003C72C1" w:rsidRPr="003C72C1">
      <w:rPr>
        <w:sz w:val="16"/>
        <w:szCs w:val="16"/>
      </w:rPr>
      <w:fldChar w:fldCharType="begin"/>
    </w:r>
    <w:r w:rsidR="003C72C1" w:rsidRPr="003C72C1">
      <w:rPr>
        <w:sz w:val="16"/>
        <w:szCs w:val="16"/>
      </w:rPr>
      <w:instrText xml:space="preserve"> PAGE  \* Arabic  \* MERGEFORMAT </w:instrText>
    </w:r>
    <w:r w:rsidR="003C72C1" w:rsidRPr="003C72C1">
      <w:rPr>
        <w:sz w:val="16"/>
        <w:szCs w:val="16"/>
      </w:rPr>
      <w:fldChar w:fldCharType="separate"/>
    </w:r>
    <w:r w:rsidR="003C72C1" w:rsidRPr="003C72C1">
      <w:rPr>
        <w:noProof/>
        <w:sz w:val="16"/>
        <w:szCs w:val="16"/>
      </w:rPr>
      <w:t>1</w:t>
    </w:r>
    <w:r w:rsidR="003C72C1" w:rsidRPr="003C72C1">
      <w:rPr>
        <w:sz w:val="16"/>
        <w:szCs w:val="16"/>
      </w:rPr>
      <w:fldChar w:fldCharType="end"/>
    </w:r>
    <w:r w:rsidR="003C72C1" w:rsidRPr="003C72C1">
      <w:rPr>
        <w:sz w:val="16"/>
        <w:szCs w:val="16"/>
      </w:rPr>
      <w:t xml:space="preserve"> of </w:t>
    </w:r>
    <w:r w:rsidR="003C72C1" w:rsidRPr="003C72C1">
      <w:rPr>
        <w:sz w:val="16"/>
        <w:szCs w:val="16"/>
      </w:rPr>
      <w:fldChar w:fldCharType="begin"/>
    </w:r>
    <w:r w:rsidR="003C72C1" w:rsidRPr="003C72C1">
      <w:rPr>
        <w:sz w:val="16"/>
        <w:szCs w:val="16"/>
      </w:rPr>
      <w:instrText xml:space="preserve"> NUMPAGES  \* Arabic  \* MERGEFORMAT </w:instrText>
    </w:r>
    <w:r w:rsidR="003C72C1" w:rsidRPr="003C72C1">
      <w:rPr>
        <w:sz w:val="16"/>
        <w:szCs w:val="16"/>
      </w:rPr>
      <w:fldChar w:fldCharType="separate"/>
    </w:r>
    <w:r w:rsidR="003C72C1" w:rsidRPr="003C72C1">
      <w:rPr>
        <w:noProof/>
        <w:sz w:val="16"/>
        <w:szCs w:val="16"/>
      </w:rPr>
      <w:t>2</w:t>
    </w:r>
    <w:r w:rsidR="003C72C1" w:rsidRPr="003C72C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18D68" w14:textId="77777777" w:rsidR="00F74D99" w:rsidRDefault="00F74D99" w:rsidP="003C72C1">
      <w:pPr>
        <w:spacing w:after="0" w:line="240" w:lineRule="auto"/>
      </w:pPr>
      <w:r>
        <w:separator/>
      </w:r>
    </w:p>
  </w:footnote>
  <w:footnote w:type="continuationSeparator" w:id="0">
    <w:p w14:paraId="29221D58" w14:textId="77777777" w:rsidR="00F74D99" w:rsidRDefault="00F74D99" w:rsidP="003C7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2278F"/>
    <w:multiLevelType w:val="hybridMultilevel"/>
    <w:tmpl w:val="E432E2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8339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41DF6"/>
    <w:rsid w:val="0004302E"/>
    <w:rsid w:val="0004706F"/>
    <w:rsid w:val="000B1A95"/>
    <w:rsid w:val="001412B6"/>
    <w:rsid w:val="00180E07"/>
    <w:rsid w:val="00186465"/>
    <w:rsid w:val="002861B0"/>
    <w:rsid w:val="002C30C9"/>
    <w:rsid w:val="002E55FB"/>
    <w:rsid w:val="003032D3"/>
    <w:rsid w:val="003578D2"/>
    <w:rsid w:val="003713B9"/>
    <w:rsid w:val="003A4777"/>
    <w:rsid w:val="003B2E0A"/>
    <w:rsid w:val="003B5ED1"/>
    <w:rsid w:val="003C72C1"/>
    <w:rsid w:val="003D3E74"/>
    <w:rsid w:val="00402121"/>
    <w:rsid w:val="00423B6D"/>
    <w:rsid w:val="00435C83"/>
    <w:rsid w:val="00442154"/>
    <w:rsid w:val="004D70A3"/>
    <w:rsid w:val="005D47E8"/>
    <w:rsid w:val="0064203A"/>
    <w:rsid w:val="006725B7"/>
    <w:rsid w:val="00683E5F"/>
    <w:rsid w:val="006F128D"/>
    <w:rsid w:val="00727D36"/>
    <w:rsid w:val="007523E0"/>
    <w:rsid w:val="00773BB9"/>
    <w:rsid w:val="0081645E"/>
    <w:rsid w:val="00881358"/>
    <w:rsid w:val="008A04F2"/>
    <w:rsid w:val="008C09FA"/>
    <w:rsid w:val="00945ACD"/>
    <w:rsid w:val="009908FA"/>
    <w:rsid w:val="00997EA9"/>
    <w:rsid w:val="00A01D26"/>
    <w:rsid w:val="00A44ACC"/>
    <w:rsid w:val="00A4639A"/>
    <w:rsid w:val="00A502E6"/>
    <w:rsid w:val="00A67368"/>
    <w:rsid w:val="00A87292"/>
    <w:rsid w:val="00AA5EF8"/>
    <w:rsid w:val="00AF32D1"/>
    <w:rsid w:val="00B24E8C"/>
    <w:rsid w:val="00B27B40"/>
    <w:rsid w:val="00BC3918"/>
    <w:rsid w:val="00BF7107"/>
    <w:rsid w:val="00BF7FCC"/>
    <w:rsid w:val="00C45EEE"/>
    <w:rsid w:val="00C5179B"/>
    <w:rsid w:val="00C753AA"/>
    <w:rsid w:val="00C96D04"/>
    <w:rsid w:val="00C97FF6"/>
    <w:rsid w:val="00CF4114"/>
    <w:rsid w:val="00E66655"/>
    <w:rsid w:val="00E9699C"/>
    <w:rsid w:val="00EE543B"/>
    <w:rsid w:val="00F059F0"/>
    <w:rsid w:val="00F235D6"/>
    <w:rsid w:val="00F2378B"/>
    <w:rsid w:val="00F74D99"/>
    <w:rsid w:val="00F75063"/>
    <w:rsid w:val="00F8353E"/>
    <w:rsid w:val="00F8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2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7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2C1"/>
  </w:style>
  <w:style w:type="paragraph" w:styleId="Footer">
    <w:name w:val="footer"/>
    <w:basedOn w:val="Normal"/>
    <w:link w:val="FooterChar"/>
    <w:uiPriority w:val="99"/>
    <w:unhideWhenUsed/>
    <w:rsid w:val="003C72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85520-1B86-453A-96AC-D11B467BF896}">
  <ds:schemaRefs>
    <ds:schemaRef ds:uri="8416942f-d982-4ba4-a5b0-104826b4be24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ef27eb8-0e3d-496f-b523-771757bdd77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326937-979A-4BAF-9819-9D07B2CCE6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0E71CB-189E-4724-9DAB-231BAC53F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2023-04-07T17:20:00Z</cp:lastPrinted>
  <dcterms:created xsi:type="dcterms:W3CDTF">2025-05-21T12:31:00Z</dcterms:created>
  <dcterms:modified xsi:type="dcterms:W3CDTF">2025-05-21T12:31:00Z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b30dd9b07c3a8bfce912ea1c8d3c39f53bc3f82403c5591a26eff0cb948df660</vt:lpwstr>
  </property>
  <property fmtid="{D5CDD505-2E9C-101B-9397-08002B2CF9AE}" pid="3" name="ContentTypeId">
    <vt:lpwstr>0x0101002FE5814883B49940B4B8AAE202A6E984</vt:lpwstr>
  </property>
</Properties>
</file>