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0"/>
      </w:tblGrid>
      <w:tr w:rsidR="005468B3" w:rsidRPr="00D55731" w14:paraId="5751B305" w14:textId="77777777" w:rsidTr="00446E85">
        <w:tc>
          <w:tcPr>
            <w:tcW w:w="8856" w:type="dxa"/>
            <w:shd w:val="clear" w:color="auto" w:fill="auto"/>
          </w:tcPr>
          <w:p w14:paraId="0B94F961" w14:textId="77777777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</w:p>
          <w:p w14:paraId="6D2FB59C" w14:textId="6F73C001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>Charleston County Coroner’s Office</w:t>
            </w:r>
            <w:r w:rsidR="006017E3">
              <w:rPr>
                <w:b/>
                <w:sz w:val="28"/>
                <w:szCs w:val="28"/>
              </w:rPr>
              <w:t xml:space="preserve"> Policy #5</w:t>
            </w:r>
            <w:r w:rsidR="002F00D6">
              <w:rPr>
                <w:b/>
                <w:sz w:val="28"/>
                <w:szCs w:val="28"/>
              </w:rPr>
              <w:t>6</w:t>
            </w:r>
          </w:p>
          <w:p w14:paraId="5A57046D" w14:textId="77777777" w:rsidR="005468B3" w:rsidRPr="00D55731" w:rsidRDefault="005468B3" w:rsidP="00446E8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468B3" w:rsidRPr="00D55731" w14:paraId="4B6EA9C2" w14:textId="77777777" w:rsidTr="00446E85">
        <w:tc>
          <w:tcPr>
            <w:tcW w:w="8856" w:type="dxa"/>
            <w:shd w:val="clear" w:color="auto" w:fill="auto"/>
          </w:tcPr>
          <w:p w14:paraId="744DB675" w14:textId="77777777" w:rsidR="005468B3" w:rsidRPr="00D55731" w:rsidRDefault="005468B3" w:rsidP="00446E85">
            <w:pPr>
              <w:rPr>
                <w:b/>
                <w:sz w:val="28"/>
                <w:szCs w:val="28"/>
              </w:rPr>
            </w:pPr>
          </w:p>
          <w:p w14:paraId="18A2950A" w14:textId="2441CD5B" w:rsidR="005468B3" w:rsidRDefault="005468B3" w:rsidP="006017E3">
            <w:pPr>
              <w:rPr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>Title:</w:t>
            </w:r>
            <w:r w:rsidRPr="002F00D6">
              <w:rPr>
                <w:bCs/>
                <w:sz w:val="28"/>
                <w:szCs w:val="28"/>
              </w:rPr>
              <w:t xml:space="preserve"> </w:t>
            </w:r>
            <w:bookmarkStart w:id="0" w:name="_Hlk160445205"/>
            <w:r w:rsidR="002F00D6" w:rsidRPr="002F00D6">
              <w:rPr>
                <w:bCs/>
                <w:sz w:val="28"/>
                <w:szCs w:val="28"/>
              </w:rPr>
              <w:t>Randox</w:t>
            </w:r>
            <w:r w:rsidR="002F00D6">
              <w:rPr>
                <w:b/>
                <w:sz w:val="28"/>
                <w:szCs w:val="28"/>
              </w:rPr>
              <w:t xml:space="preserve"> </w:t>
            </w:r>
            <w:r w:rsidR="00BC4876" w:rsidRPr="00BC4876">
              <w:rPr>
                <w:bCs/>
                <w:sz w:val="28"/>
                <w:szCs w:val="28"/>
              </w:rPr>
              <w:t>Evidence Multistat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="006017E3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</w:t>
            </w:r>
            <w:bookmarkEnd w:id="0"/>
            <w:r w:rsidRPr="00D55731">
              <w:rPr>
                <w:b/>
                <w:sz w:val="28"/>
                <w:szCs w:val="28"/>
              </w:rPr>
              <w:t xml:space="preserve">Page: </w:t>
            </w:r>
            <w:r w:rsidRPr="00D55731">
              <w:rPr>
                <w:sz w:val="28"/>
                <w:szCs w:val="28"/>
              </w:rPr>
              <w:t xml:space="preserve">1 of </w:t>
            </w:r>
            <w:r w:rsidR="003F08A4">
              <w:rPr>
                <w:sz w:val="28"/>
                <w:szCs w:val="28"/>
              </w:rPr>
              <w:t xml:space="preserve"> 3</w:t>
            </w:r>
          </w:p>
          <w:p w14:paraId="75C61709" w14:textId="78F57D7B" w:rsidR="006017E3" w:rsidRPr="00D55731" w:rsidRDefault="006017E3" w:rsidP="006017E3">
            <w:pPr>
              <w:rPr>
                <w:b/>
                <w:sz w:val="28"/>
                <w:szCs w:val="28"/>
              </w:rPr>
            </w:pPr>
          </w:p>
        </w:tc>
      </w:tr>
      <w:tr w:rsidR="005468B3" w:rsidRPr="00D55731" w14:paraId="606F7D1E" w14:textId="77777777" w:rsidTr="00446E85">
        <w:tc>
          <w:tcPr>
            <w:tcW w:w="8856" w:type="dxa"/>
            <w:shd w:val="clear" w:color="auto" w:fill="auto"/>
          </w:tcPr>
          <w:p w14:paraId="6F734A1F" w14:textId="01BB447B" w:rsidR="005468B3" w:rsidRPr="00D55731" w:rsidRDefault="005468B3" w:rsidP="00446E85">
            <w:pPr>
              <w:spacing w:line="360" w:lineRule="auto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 xml:space="preserve">Effective Date: </w:t>
            </w:r>
            <w:r w:rsidR="006017E3" w:rsidRPr="006017E3">
              <w:rPr>
                <w:bCs/>
                <w:sz w:val="28"/>
                <w:szCs w:val="28"/>
              </w:rPr>
              <w:t>3/</w:t>
            </w:r>
            <w:r w:rsidR="002F00D6">
              <w:rPr>
                <w:bCs/>
                <w:sz w:val="28"/>
                <w:szCs w:val="28"/>
              </w:rPr>
              <w:t>4</w:t>
            </w:r>
            <w:r w:rsidR="006017E3" w:rsidRPr="006017E3">
              <w:rPr>
                <w:bCs/>
                <w:sz w:val="28"/>
                <w:szCs w:val="28"/>
              </w:rPr>
              <w:t>/2024</w:t>
            </w:r>
            <w:r w:rsidRPr="00D55731">
              <w:rPr>
                <w:b/>
                <w:sz w:val="28"/>
                <w:szCs w:val="28"/>
              </w:rPr>
              <w:t xml:space="preserve"> </w:t>
            </w:r>
          </w:p>
          <w:p w14:paraId="34EF6E84" w14:textId="2C9FD09E" w:rsidR="005468B3" w:rsidRPr="00D55731" w:rsidRDefault="005468B3" w:rsidP="00446E85">
            <w:pPr>
              <w:spacing w:line="360" w:lineRule="auto"/>
              <w:rPr>
                <w:b/>
                <w:sz w:val="28"/>
                <w:szCs w:val="28"/>
              </w:rPr>
            </w:pPr>
            <w:r w:rsidRPr="00D55731">
              <w:rPr>
                <w:b/>
                <w:sz w:val="28"/>
                <w:szCs w:val="28"/>
              </w:rPr>
              <w:t xml:space="preserve">Authorized By: </w:t>
            </w:r>
            <w:r w:rsidR="006017E3" w:rsidRPr="006017E3">
              <w:rPr>
                <w:bCs/>
                <w:sz w:val="28"/>
                <w:szCs w:val="28"/>
              </w:rPr>
              <w:t>Bobbi Jo O’Neal, Coroner</w:t>
            </w:r>
          </w:p>
        </w:tc>
      </w:tr>
    </w:tbl>
    <w:p w14:paraId="301FC676" w14:textId="77777777" w:rsidR="005468B3" w:rsidRDefault="005468B3" w:rsidP="005468B3"/>
    <w:p w14:paraId="4E0D592F" w14:textId="165A5F01" w:rsidR="005468B3" w:rsidRPr="006017E3" w:rsidRDefault="006017E3" w:rsidP="005468B3">
      <w:pPr>
        <w:spacing w:line="360" w:lineRule="auto"/>
        <w:rPr>
          <w:bCs/>
        </w:rPr>
      </w:pPr>
      <w:r w:rsidRPr="006017E3">
        <w:rPr>
          <w:bCs/>
        </w:rPr>
        <w:t>5</w:t>
      </w:r>
      <w:r w:rsidR="002F00D6">
        <w:rPr>
          <w:bCs/>
        </w:rPr>
        <w:t>6</w:t>
      </w:r>
      <w:r w:rsidRPr="006017E3">
        <w:rPr>
          <w:bCs/>
        </w:rPr>
        <w:t xml:space="preserve">.1 </w:t>
      </w:r>
      <w:r w:rsidRPr="006017E3">
        <w:rPr>
          <w:bCs/>
          <w:u w:val="single"/>
        </w:rPr>
        <w:t>POLICY</w:t>
      </w:r>
    </w:p>
    <w:p w14:paraId="5A3E8C29" w14:textId="26515AD5" w:rsidR="007B531A" w:rsidRDefault="00DE0AC8" w:rsidP="00BC4876">
      <w:pPr>
        <w:pStyle w:val="ListParagraph"/>
        <w:numPr>
          <w:ilvl w:val="0"/>
          <w:numId w:val="13"/>
        </w:numPr>
        <w:spacing w:line="360" w:lineRule="auto"/>
        <w:ind w:left="360"/>
      </w:pPr>
      <w:r>
        <w:t xml:space="preserve">The Coroner’s Office </w:t>
      </w:r>
      <w:r w:rsidR="002F00D6">
        <w:t xml:space="preserve">owns </w:t>
      </w:r>
      <w:r>
        <w:t xml:space="preserve">a </w:t>
      </w:r>
      <w:r w:rsidR="002F00D6">
        <w:t>Randox Evidence Multistat (Randox) which is a fully automated desktop sized toxicology profile screening machine</w:t>
      </w:r>
      <w:bookmarkStart w:id="1" w:name="_Hlk160440135"/>
      <w:r w:rsidR="002F00D6">
        <w:t xml:space="preserve">.   The Randox </w:t>
      </w:r>
      <w:bookmarkEnd w:id="1"/>
      <w:r>
        <w:t xml:space="preserve">will only be operated by trained staff members at the discretion of the </w:t>
      </w:r>
      <w:r w:rsidR="005309B6">
        <w:t>C</w:t>
      </w:r>
      <w:r w:rsidR="002F00D6">
        <w:t xml:space="preserve">ase </w:t>
      </w:r>
      <w:r w:rsidR="005309B6">
        <w:t>D</w:t>
      </w:r>
      <w:r w:rsidR="002F00D6">
        <w:t xml:space="preserve">eputy, </w:t>
      </w:r>
      <w:r>
        <w:t>Chief Deputy or the Coroner to facilitate</w:t>
      </w:r>
      <w:r w:rsidR="002F00D6">
        <w:t xml:space="preserve"> detection of up to 21 classical, prescription and synthetic drugs from a single sample</w:t>
      </w:r>
      <w:r w:rsidR="00BC4876">
        <w:t xml:space="preserve"> as part of a death investigation</w:t>
      </w:r>
      <w:r w:rsidR="007B531A" w:rsidRPr="007B531A">
        <w:t xml:space="preserve">.  </w:t>
      </w:r>
    </w:p>
    <w:p w14:paraId="5E9077A7" w14:textId="77777777" w:rsidR="007B531A" w:rsidRDefault="007B531A" w:rsidP="005468B3">
      <w:pPr>
        <w:spacing w:line="360" w:lineRule="auto"/>
      </w:pPr>
    </w:p>
    <w:p w14:paraId="37CA94E5" w14:textId="60D8FD4F" w:rsidR="00ED352B" w:rsidRDefault="001E21B3" w:rsidP="007B531A">
      <w:pPr>
        <w:pStyle w:val="ListParagraph"/>
        <w:numPr>
          <w:ilvl w:val="0"/>
          <w:numId w:val="13"/>
        </w:numPr>
        <w:spacing w:line="360" w:lineRule="auto"/>
        <w:ind w:left="360"/>
      </w:pPr>
      <w:r>
        <w:t xml:space="preserve">The </w:t>
      </w:r>
      <w:r w:rsidR="007B531A">
        <w:t>S</w:t>
      </w:r>
      <w:r>
        <w:t xml:space="preserve">upervisor of </w:t>
      </w:r>
      <w:r w:rsidR="007B531A">
        <w:t>F</w:t>
      </w:r>
      <w:r>
        <w:t xml:space="preserve">orensic </w:t>
      </w:r>
      <w:r w:rsidR="007B531A">
        <w:t>S</w:t>
      </w:r>
      <w:r>
        <w:t xml:space="preserve">ervices will be the primary contact person </w:t>
      </w:r>
      <w:r w:rsidR="005309B6">
        <w:t xml:space="preserve">for the Randox </w:t>
      </w:r>
      <w:r>
        <w:t xml:space="preserve">and shall oversee the use, care, and maintenance in accordance with this policy. </w:t>
      </w:r>
      <w:r w:rsidR="00DE0AC8">
        <w:t xml:space="preserve">The </w:t>
      </w:r>
      <w:r w:rsidR="00FC7AD6">
        <w:t>R</w:t>
      </w:r>
      <w:r w:rsidR="002F00D6">
        <w:t>andox</w:t>
      </w:r>
      <w:r w:rsidR="00DE0AC8">
        <w:t xml:space="preserve"> will be </w:t>
      </w:r>
      <w:r w:rsidR="002F00D6">
        <w:t xml:space="preserve">operated and </w:t>
      </w:r>
      <w:r w:rsidR="00DE0AC8">
        <w:t xml:space="preserve">maintained in accordance with the manufacturer’s </w:t>
      </w:r>
      <w:r w:rsidR="00FF4CF9">
        <w:t>r</w:t>
      </w:r>
      <w:r w:rsidR="00DE0AC8">
        <w:t>ecommendations.</w:t>
      </w:r>
      <w:r w:rsidR="00ED352B">
        <w:t xml:space="preserve"> </w:t>
      </w:r>
    </w:p>
    <w:p w14:paraId="0D47EB48" w14:textId="77777777" w:rsidR="00ED352B" w:rsidRDefault="00ED352B" w:rsidP="00ED352B">
      <w:pPr>
        <w:pStyle w:val="ListParagraph"/>
        <w:spacing w:line="360" w:lineRule="auto"/>
        <w:ind w:left="360"/>
      </w:pPr>
    </w:p>
    <w:p w14:paraId="71234261" w14:textId="52067373" w:rsidR="005468B3" w:rsidRDefault="00ED352B" w:rsidP="007B531A">
      <w:pPr>
        <w:pStyle w:val="ListParagraph"/>
        <w:numPr>
          <w:ilvl w:val="0"/>
          <w:numId w:val="13"/>
        </w:numPr>
        <w:spacing w:line="360" w:lineRule="auto"/>
        <w:ind w:left="360"/>
      </w:pPr>
      <w:r>
        <w:t>The R</w:t>
      </w:r>
      <w:r w:rsidR="00BC4876">
        <w:t xml:space="preserve">andox </w:t>
      </w:r>
      <w:r>
        <w:t xml:space="preserve">shall be kept in a secured and restricted access area. </w:t>
      </w:r>
      <w:r w:rsidR="00DE0AC8">
        <w:t xml:space="preserve"> </w:t>
      </w:r>
    </w:p>
    <w:p w14:paraId="54E809D7" w14:textId="77777777" w:rsidR="00B227A9" w:rsidRDefault="00B227A9" w:rsidP="005468B3">
      <w:pPr>
        <w:spacing w:line="360" w:lineRule="auto"/>
      </w:pPr>
    </w:p>
    <w:p w14:paraId="7F2F89FB" w14:textId="3A03AB61" w:rsidR="005205F2" w:rsidRPr="005205F2" w:rsidRDefault="005205F2" w:rsidP="00AD2052">
      <w:pPr>
        <w:spacing w:after="160" w:line="360" w:lineRule="auto"/>
        <w:ind w:left="450" w:hanging="450"/>
        <w:jc w:val="both"/>
        <w:rPr>
          <w:rFonts w:eastAsia="Calibri"/>
        </w:rPr>
      </w:pPr>
      <w:r>
        <w:rPr>
          <w:rFonts w:eastAsia="Calibri"/>
        </w:rPr>
        <w:t>5</w:t>
      </w:r>
      <w:r w:rsidR="002561F0">
        <w:rPr>
          <w:rFonts w:eastAsia="Calibri"/>
        </w:rPr>
        <w:t>6</w:t>
      </w:r>
      <w:r>
        <w:rPr>
          <w:rFonts w:eastAsia="Calibri"/>
        </w:rPr>
        <w:t>.</w:t>
      </w:r>
      <w:r w:rsidR="001E21B3">
        <w:rPr>
          <w:rFonts w:eastAsia="Calibri"/>
        </w:rPr>
        <w:t>2</w:t>
      </w:r>
      <w:r>
        <w:rPr>
          <w:rFonts w:eastAsia="Calibri"/>
        </w:rPr>
        <w:t xml:space="preserve"> </w:t>
      </w:r>
      <w:r w:rsidRPr="005205F2">
        <w:rPr>
          <w:rFonts w:eastAsia="Calibri"/>
          <w:u w:val="single"/>
        </w:rPr>
        <w:t xml:space="preserve">SAMPLE </w:t>
      </w:r>
      <w:r w:rsidR="002561F0">
        <w:rPr>
          <w:rFonts w:eastAsia="Calibri"/>
          <w:u w:val="single"/>
        </w:rPr>
        <w:t>SCREENING PROTOCOL</w:t>
      </w:r>
    </w:p>
    <w:p w14:paraId="5DCD6F7F" w14:textId="5A02ADF6" w:rsidR="005205F2" w:rsidRDefault="005309B6" w:rsidP="00AD2052">
      <w:pPr>
        <w:spacing w:after="160" w:line="360" w:lineRule="auto"/>
        <w:jc w:val="both"/>
        <w:rPr>
          <w:rFonts w:eastAsia="Calibri"/>
        </w:rPr>
      </w:pPr>
      <w:r>
        <w:rPr>
          <w:rFonts w:eastAsia="Calibri"/>
        </w:rPr>
        <w:t xml:space="preserve">Deputies shall ensure that decedents are screened with the </w:t>
      </w:r>
      <w:r w:rsidR="005205F2" w:rsidRPr="005205F2">
        <w:rPr>
          <w:rFonts w:eastAsia="Calibri"/>
        </w:rPr>
        <w:t>R</w:t>
      </w:r>
      <w:r w:rsidR="002561F0">
        <w:rPr>
          <w:rFonts w:eastAsia="Calibri"/>
        </w:rPr>
        <w:t xml:space="preserve">andox </w:t>
      </w:r>
      <w:r>
        <w:rPr>
          <w:rFonts w:eastAsia="Calibri"/>
        </w:rPr>
        <w:t>where the case</w:t>
      </w:r>
      <w:r w:rsidR="002561F0">
        <w:rPr>
          <w:rFonts w:eastAsia="Calibri"/>
        </w:rPr>
        <w:t xml:space="preserve"> meets </w:t>
      </w:r>
      <w:r>
        <w:rPr>
          <w:rFonts w:eastAsia="Calibri"/>
        </w:rPr>
        <w:t xml:space="preserve">at least one </w:t>
      </w:r>
      <w:r w:rsidR="002561F0">
        <w:rPr>
          <w:rFonts w:eastAsia="Calibri"/>
        </w:rPr>
        <w:t xml:space="preserve">the following screening protocol: </w:t>
      </w:r>
    </w:p>
    <w:p w14:paraId="14633497" w14:textId="142B0DBD" w:rsidR="002561F0" w:rsidRPr="004B62FF" w:rsidRDefault="005309B6" w:rsidP="002701A6">
      <w:pPr>
        <w:pStyle w:val="ListParagraph"/>
        <w:numPr>
          <w:ilvl w:val="0"/>
          <w:numId w:val="22"/>
        </w:numPr>
        <w:spacing w:after="160" w:line="360" w:lineRule="auto"/>
        <w:rPr>
          <w:sz w:val="28"/>
          <w:szCs w:val="28"/>
          <w:u w:val="single"/>
        </w:rPr>
      </w:pPr>
      <w:r>
        <w:t>C</w:t>
      </w:r>
      <w:r w:rsidR="002561F0">
        <w:t xml:space="preserve">ases where drugs </w:t>
      </w:r>
      <w:r w:rsidR="002701A6">
        <w:t xml:space="preserve">or paraphernalia </w:t>
      </w:r>
      <w:r w:rsidR="002561F0">
        <w:t>are found on the scene.</w:t>
      </w:r>
    </w:p>
    <w:p w14:paraId="3CE54944" w14:textId="5284B317" w:rsidR="002561F0" w:rsidRPr="004B62FF" w:rsidRDefault="005309B6" w:rsidP="002701A6">
      <w:pPr>
        <w:pStyle w:val="ListParagraph"/>
        <w:numPr>
          <w:ilvl w:val="0"/>
          <w:numId w:val="22"/>
        </w:numPr>
        <w:spacing w:after="160" w:line="360" w:lineRule="auto"/>
        <w:rPr>
          <w:sz w:val="28"/>
          <w:szCs w:val="28"/>
          <w:u w:val="single"/>
        </w:rPr>
      </w:pPr>
      <w:r>
        <w:t>C</w:t>
      </w:r>
      <w:r w:rsidR="002561F0">
        <w:t>ases where the decedent has a current or past drug history.</w:t>
      </w:r>
    </w:p>
    <w:p w14:paraId="43388953" w14:textId="38288170" w:rsidR="002561F0" w:rsidRPr="003C11DF" w:rsidRDefault="003F08A4" w:rsidP="002701A6">
      <w:pPr>
        <w:pStyle w:val="ListParagraph"/>
        <w:numPr>
          <w:ilvl w:val="0"/>
          <w:numId w:val="22"/>
        </w:numPr>
        <w:spacing w:after="160" w:line="360" w:lineRule="auto"/>
        <w:rPr>
          <w:sz w:val="28"/>
          <w:szCs w:val="28"/>
          <w:u w:val="single"/>
        </w:rPr>
      </w:pPr>
      <w:r>
        <w:t>Decedents with</w:t>
      </w:r>
      <w:r w:rsidR="002561F0">
        <w:t xml:space="preserve"> heavy lungs, excess urine, or hardened stool found at autopsy regardless of suspected manner. </w:t>
      </w:r>
    </w:p>
    <w:p w14:paraId="6AF903E6" w14:textId="352064C7" w:rsidR="002561F0" w:rsidRPr="003C11DF" w:rsidRDefault="002701A6" w:rsidP="002701A6">
      <w:pPr>
        <w:pStyle w:val="ListParagraph"/>
        <w:numPr>
          <w:ilvl w:val="0"/>
          <w:numId w:val="22"/>
        </w:numPr>
        <w:spacing w:after="160" w:line="360" w:lineRule="auto"/>
        <w:rPr>
          <w:sz w:val="28"/>
          <w:szCs w:val="28"/>
          <w:u w:val="single"/>
        </w:rPr>
      </w:pPr>
      <w:r>
        <w:t>The</w:t>
      </w:r>
      <w:r w:rsidR="002561F0">
        <w:t xml:space="preserve"> decedent had a positive drug screen at the hospital.</w:t>
      </w:r>
    </w:p>
    <w:p w14:paraId="6E178B15" w14:textId="59748E5B" w:rsidR="002561F0" w:rsidRPr="003F08A4" w:rsidRDefault="003F08A4" w:rsidP="002701A6">
      <w:pPr>
        <w:pStyle w:val="ListParagraph"/>
        <w:numPr>
          <w:ilvl w:val="0"/>
          <w:numId w:val="22"/>
        </w:numPr>
        <w:spacing w:after="160" w:line="360" w:lineRule="auto"/>
        <w:rPr>
          <w:sz w:val="28"/>
          <w:szCs w:val="28"/>
          <w:u w:val="single"/>
        </w:rPr>
      </w:pPr>
      <w:r>
        <w:lastRenderedPageBreak/>
        <w:t>Or at the discretion of the</w:t>
      </w:r>
      <w:r w:rsidR="002561F0">
        <w:t xml:space="preserve"> </w:t>
      </w:r>
      <w:r>
        <w:t>Case Deputy</w:t>
      </w:r>
      <w:r w:rsidR="002701A6">
        <w:t>, Chief Deputy, or the Coroner</w:t>
      </w:r>
      <w:r w:rsidR="002561F0">
        <w:t>.</w:t>
      </w:r>
    </w:p>
    <w:p w14:paraId="3C1A109E" w14:textId="04F50359" w:rsidR="00ED352B" w:rsidRPr="00ED352B" w:rsidRDefault="005309B6" w:rsidP="00ED352B">
      <w:pPr>
        <w:spacing w:after="16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56</w:t>
      </w:r>
      <w:r w:rsidR="00ED352B">
        <w:rPr>
          <w:rFonts w:eastAsia="Calibri"/>
        </w:rPr>
        <w:t xml:space="preserve">.3 </w:t>
      </w:r>
      <w:r w:rsidR="00A00056" w:rsidRPr="00A00056">
        <w:rPr>
          <w:rFonts w:eastAsia="Calibri"/>
          <w:u w:val="single"/>
        </w:rPr>
        <w:t>CONSUMABLE KITS</w:t>
      </w:r>
    </w:p>
    <w:p w14:paraId="4EFC5DFB" w14:textId="405B54E4" w:rsidR="00ED352B" w:rsidRDefault="00A00056" w:rsidP="00ED352B">
      <w:pPr>
        <w:spacing w:after="16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A </w:t>
      </w:r>
      <w:r w:rsidR="00222383">
        <w:rPr>
          <w:rFonts w:eastAsia="Calibri"/>
        </w:rPr>
        <w:t>“</w:t>
      </w:r>
      <w:r>
        <w:rPr>
          <w:rFonts w:eastAsia="Calibri"/>
        </w:rPr>
        <w:t>consumable kit</w:t>
      </w:r>
      <w:r w:rsidR="00222383">
        <w:rPr>
          <w:rFonts w:eastAsia="Calibri"/>
        </w:rPr>
        <w:t>”</w:t>
      </w:r>
      <w:r>
        <w:rPr>
          <w:rFonts w:eastAsia="Calibri"/>
        </w:rPr>
        <w:t xml:space="preserve"> is</w:t>
      </w:r>
      <w:r w:rsidR="00222383">
        <w:rPr>
          <w:rFonts w:eastAsia="Calibri"/>
        </w:rPr>
        <w:t xml:space="preserve"> comprised of perishable apparati which facilitates the testing of samples in the </w:t>
      </w:r>
      <w:r w:rsidR="003F08A4">
        <w:rPr>
          <w:rFonts w:eastAsia="Calibri"/>
        </w:rPr>
        <w:t>Randox</w:t>
      </w:r>
      <w:r w:rsidR="00222383">
        <w:rPr>
          <w:rFonts w:eastAsia="Calibri"/>
        </w:rPr>
        <w:t xml:space="preserve">.  </w:t>
      </w:r>
      <w:r w:rsidR="00ED352B" w:rsidRPr="00ED352B">
        <w:rPr>
          <w:rFonts w:eastAsia="Calibri"/>
        </w:rPr>
        <w:t xml:space="preserve">Upon receipt of a shipment of consumable kits, the </w:t>
      </w:r>
      <w:r w:rsidR="005C5386">
        <w:rPr>
          <w:rFonts w:eastAsia="Calibri"/>
        </w:rPr>
        <w:t>Supervisor of Forensic Services</w:t>
      </w:r>
      <w:r w:rsidR="00ED352B" w:rsidRPr="00ED352B">
        <w:rPr>
          <w:rFonts w:eastAsia="Calibri"/>
        </w:rPr>
        <w:t xml:space="preserve"> shall visually inspect the contents of each shipment to ensure that the packaging is not damaged, and that the expiration date</w:t>
      </w:r>
      <w:r w:rsidR="003F08A4">
        <w:rPr>
          <w:rFonts w:eastAsia="Calibri"/>
        </w:rPr>
        <w:t xml:space="preserve"> is such that the kit will be consumed before expiration</w:t>
      </w:r>
      <w:r w:rsidR="00ED352B" w:rsidRPr="00ED352B">
        <w:rPr>
          <w:rFonts w:eastAsia="Calibri"/>
        </w:rPr>
        <w:t>.  If not, the vendor shall be notified that the kits are unacceptable.</w:t>
      </w:r>
    </w:p>
    <w:p w14:paraId="71188713" w14:textId="77777777" w:rsidR="00286CE9" w:rsidRDefault="00286CE9" w:rsidP="00ED352B">
      <w:pPr>
        <w:spacing w:after="160" w:line="360" w:lineRule="auto"/>
        <w:contextualSpacing/>
        <w:jc w:val="both"/>
        <w:rPr>
          <w:rFonts w:eastAsia="Calibri"/>
        </w:rPr>
      </w:pPr>
    </w:p>
    <w:p w14:paraId="43D99789" w14:textId="17136AD7" w:rsidR="00ED352B" w:rsidRPr="00ED352B" w:rsidRDefault="00286CE9" w:rsidP="00ED352B">
      <w:pPr>
        <w:spacing w:after="160" w:line="360" w:lineRule="auto"/>
        <w:contextualSpacing/>
        <w:jc w:val="both"/>
        <w:rPr>
          <w:rFonts w:eastAsia="Calibri"/>
        </w:rPr>
      </w:pPr>
      <w:bookmarkStart w:id="2" w:name="_Hlk160199949"/>
      <w:r>
        <w:rPr>
          <w:rFonts w:eastAsia="Calibri"/>
        </w:rPr>
        <w:t>5</w:t>
      </w:r>
      <w:r w:rsidR="003F08A4">
        <w:rPr>
          <w:rFonts w:eastAsia="Calibri"/>
        </w:rPr>
        <w:t>6</w:t>
      </w:r>
      <w:r>
        <w:rPr>
          <w:rFonts w:eastAsia="Calibri"/>
        </w:rPr>
        <w:t xml:space="preserve">.4 </w:t>
      </w:r>
      <w:r w:rsidR="00ED352B" w:rsidRPr="00286CE9">
        <w:rPr>
          <w:rFonts w:eastAsia="Calibri"/>
          <w:u w:val="single"/>
        </w:rPr>
        <w:t>RA</w:t>
      </w:r>
      <w:r w:rsidR="003F08A4">
        <w:rPr>
          <w:rFonts w:eastAsia="Calibri"/>
          <w:u w:val="single"/>
        </w:rPr>
        <w:t xml:space="preserve">NDOX </w:t>
      </w:r>
      <w:r w:rsidR="00ED352B" w:rsidRPr="00286CE9">
        <w:rPr>
          <w:rFonts w:eastAsia="Calibri"/>
          <w:u w:val="single"/>
        </w:rPr>
        <w:t>TESTING PROCEDURES</w:t>
      </w:r>
    </w:p>
    <w:bookmarkEnd w:id="2"/>
    <w:p w14:paraId="0D97339F" w14:textId="6DB4C617" w:rsidR="00ED352B" w:rsidRDefault="006D52E5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Detailed </w:t>
      </w:r>
      <w:r w:rsidR="00ED352B" w:rsidRPr="005C5386">
        <w:rPr>
          <w:rFonts w:eastAsia="Calibri"/>
        </w:rPr>
        <w:t>R</w:t>
      </w:r>
      <w:r w:rsidR="008F16A3">
        <w:rPr>
          <w:rFonts w:eastAsia="Calibri"/>
        </w:rPr>
        <w:t>andox</w:t>
      </w:r>
      <w:r w:rsidR="00ED352B" w:rsidRPr="005C5386">
        <w:rPr>
          <w:rFonts w:eastAsia="Calibri"/>
        </w:rPr>
        <w:t xml:space="preserve"> analysis procedures are contained in the Ra</w:t>
      </w:r>
      <w:r w:rsidR="00E04206">
        <w:rPr>
          <w:rFonts w:eastAsia="Calibri"/>
        </w:rPr>
        <w:t>ndox</w:t>
      </w:r>
      <w:r w:rsidR="00ED352B" w:rsidRPr="005C5386">
        <w:rPr>
          <w:rFonts w:eastAsia="Calibri"/>
        </w:rPr>
        <w:t xml:space="preserve"> </w:t>
      </w:r>
      <w:r w:rsidR="00E04206">
        <w:rPr>
          <w:rFonts w:eastAsia="Calibri"/>
        </w:rPr>
        <w:t xml:space="preserve">Operator Guide </w:t>
      </w:r>
      <w:r w:rsidR="00ED352B" w:rsidRPr="005C5386">
        <w:rPr>
          <w:rFonts w:eastAsia="Calibri"/>
        </w:rPr>
        <w:t xml:space="preserve">provided by </w:t>
      </w:r>
      <w:r w:rsidR="00E04206">
        <w:rPr>
          <w:rFonts w:eastAsia="Calibri"/>
        </w:rPr>
        <w:t>the manufacturer</w:t>
      </w:r>
      <w:r w:rsidR="003F08A4">
        <w:rPr>
          <w:rFonts w:eastAsia="Calibri"/>
        </w:rPr>
        <w:t xml:space="preserve"> and shall be available to trained staff.</w:t>
      </w:r>
    </w:p>
    <w:p w14:paraId="2FD5515C" w14:textId="77777777" w:rsidR="003F08A4" w:rsidRDefault="003F08A4" w:rsidP="003F08A4">
      <w:pPr>
        <w:pStyle w:val="ListParagraph"/>
        <w:spacing w:after="160" w:line="360" w:lineRule="auto"/>
        <w:jc w:val="both"/>
        <w:rPr>
          <w:rFonts w:eastAsia="Calibri"/>
        </w:rPr>
      </w:pPr>
    </w:p>
    <w:p w14:paraId="5E59D7CD" w14:textId="4794C06B" w:rsidR="00E04206" w:rsidRDefault="008F16A3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E04206">
        <w:rPr>
          <w:rFonts w:eastAsia="Calibri"/>
        </w:rPr>
        <w:t>A centrifuge tube will be collected at autopsy with a minimum of 3.5 mL to a maximum of 4.0 mL of blood, preferably from the same anatomic location as blood collected for</w:t>
      </w:r>
      <w:r w:rsidR="002D5EF6">
        <w:rPr>
          <w:rFonts w:eastAsia="Calibri"/>
        </w:rPr>
        <w:t xml:space="preserve"> full</w:t>
      </w:r>
      <w:r w:rsidR="00E04206">
        <w:rPr>
          <w:rFonts w:eastAsia="Calibri"/>
        </w:rPr>
        <w:t xml:space="preserve"> laboratory testing.</w:t>
      </w:r>
    </w:p>
    <w:p w14:paraId="2D6A0A9E" w14:textId="77777777" w:rsidR="00E04206" w:rsidRPr="00E04206" w:rsidRDefault="00E04206" w:rsidP="00E04206">
      <w:pPr>
        <w:pStyle w:val="ListParagraph"/>
        <w:spacing w:after="160" w:line="360" w:lineRule="auto"/>
        <w:jc w:val="both"/>
        <w:rPr>
          <w:rFonts w:eastAsia="Calibri"/>
        </w:rPr>
      </w:pPr>
    </w:p>
    <w:p w14:paraId="37B8B9D3" w14:textId="063D2A8D" w:rsidR="008F16A3" w:rsidRDefault="008F16A3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E04206">
        <w:rPr>
          <w:rFonts w:eastAsia="Calibri"/>
        </w:rPr>
        <w:t>If hospital blood is available or if the centrifuge tube was not collected at autopsy, blood from a purple top tube may be poured off and spun down to run on Randox.</w:t>
      </w:r>
    </w:p>
    <w:p w14:paraId="49CF88EE" w14:textId="77777777" w:rsidR="00E04206" w:rsidRPr="00E04206" w:rsidRDefault="00E04206" w:rsidP="00E04206">
      <w:pPr>
        <w:pStyle w:val="ListParagraph"/>
        <w:spacing w:after="160" w:line="360" w:lineRule="auto"/>
        <w:jc w:val="both"/>
        <w:rPr>
          <w:rFonts w:eastAsia="Calibri"/>
        </w:rPr>
      </w:pPr>
    </w:p>
    <w:p w14:paraId="44BDB223" w14:textId="7AE399CA" w:rsidR="008F16A3" w:rsidRDefault="008F16A3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E04206">
        <w:rPr>
          <w:rFonts w:eastAsia="Calibri"/>
        </w:rPr>
        <w:t>Tox</w:t>
      </w:r>
      <w:r w:rsidR="003F08A4">
        <w:rPr>
          <w:rFonts w:eastAsia="Calibri"/>
        </w:rPr>
        <w:t>icology samples</w:t>
      </w:r>
      <w:r w:rsidRPr="00E04206">
        <w:rPr>
          <w:rFonts w:eastAsia="Calibri"/>
        </w:rPr>
        <w:t xml:space="preserve"> will be sent to </w:t>
      </w:r>
      <w:r w:rsidR="002D5EF6">
        <w:rPr>
          <w:rFonts w:eastAsia="Calibri"/>
        </w:rPr>
        <w:t xml:space="preserve">the contracted laboratory </w:t>
      </w:r>
      <w:r w:rsidRPr="00E04206">
        <w:rPr>
          <w:rFonts w:eastAsia="Calibri"/>
        </w:rPr>
        <w:t>for confirmatory testing on cases that are run on Randox</w:t>
      </w:r>
      <w:r w:rsidR="003F08A4">
        <w:rPr>
          <w:rFonts w:eastAsia="Calibri"/>
        </w:rPr>
        <w:t xml:space="preserve"> regardless of results</w:t>
      </w:r>
      <w:r w:rsidRPr="00E04206">
        <w:rPr>
          <w:rFonts w:eastAsia="Calibri"/>
        </w:rPr>
        <w:t>.</w:t>
      </w:r>
    </w:p>
    <w:p w14:paraId="50EC8BB0" w14:textId="77777777" w:rsidR="00E04206" w:rsidRPr="00E04206" w:rsidRDefault="00E04206" w:rsidP="00E04206">
      <w:pPr>
        <w:pStyle w:val="ListParagraph"/>
        <w:spacing w:after="160" w:line="360" w:lineRule="auto"/>
        <w:jc w:val="both"/>
        <w:rPr>
          <w:rFonts w:eastAsia="Calibri"/>
        </w:rPr>
      </w:pPr>
    </w:p>
    <w:p w14:paraId="715A7F95" w14:textId="3C1C8222" w:rsidR="008F16A3" w:rsidRPr="00E04206" w:rsidRDefault="008F16A3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E04206">
        <w:rPr>
          <w:rFonts w:eastAsia="Calibri"/>
        </w:rPr>
        <w:t xml:space="preserve">If the decedent has an extensive </w:t>
      </w:r>
      <w:r w:rsidR="002D5EF6">
        <w:rPr>
          <w:rFonts w:eastAsia="Calibri"/>
        </w:rPr>
        <w:t xml:space="preserve">medical </w:t>
      </w:r>
      <w:r w:rsidRPr="00E04206">
        <w:rPr>
          <w:rFonts w:eastAsia="Calibri"/>
        </w:rPr>
        <w:t xml:space="preserve">history and no indication of drug use or there are strong objections to an autopsy by the family due to religious or other reasons, Randox results, if </w:t>
      </w:r>
      <w:r w:rsidR="002D5EF6">
        <w:rPr>
          <w:rFonts w:eastAsia="Calibri"/>
        </w:rPr>
        <w:t>completely</w:t>
      </w:r>
      <w:r w:rsidRPr="00E04206">
        <w:rPr>
          <w:rFonts w:eastAsia="Calibri"/>
        </w:rPr>
        <w:t xml:space="preserve"> negative, may be used </w:t>
      </w:r>
      <w:r w:rsidR="002D5EF6">
        <w:rPr>
          <w:rFonts w:eastAsia="Calibri"/>
        </w:rPr>
        <w:t>to support a ‘no autopsy’ decision</w:t>
      </w:r>
      <w:r w:rsidRPr="00E04206">
        <w:rPr>
          <w:rFonts w:eastAsia="Calibri"/>
        </w:rPr>
        <w:t xml:space="preserve"> at the discretion of the </w:t>
      </w:r>
      <w:r w:rsidR="002D5EF6">
        <w:rPr>
          <w:rFonts w:eastAsia="Calibri"/>
        </w:rPr>
        <w:t>Case Deputy</w:t>
      </w:r>
      <w:r w:rsidRPr="00E04206">
        <w:rPr>
          <w:rFonts w:eastAsia="Calibri"/>
        </w:rPr>
        <w:t xml:space="preserve">. However, samples for </w:t>
      </w:r>
      <w:r w:rsidR="002D5EF6">
        <w:rPr>
          <w:rFonts w:eastAsia="Calibri"/>
        </w:rPr>
        <w:t>the contracted laboratory</w:t>
      </w:r>
      <w:r w:rsidRPr="00E04206">
        <w:rPr>
          <w:rFonts w:eastAsia="Calibri"/>
        </w:rPr>
        <w:t xml:space="preserve"> should still be collected and </w:t>
      </w:r>
      <w:r w:rsidR="002D5EF6">
        <w:rPr>
          <w:rFonts w:eastAsia="Calibri"/>
        </w:rPr>
        <w:t>stored</w:t>
      </w:r>
      <w:r w:rsidRPr="00E04206">
        <w:rPr>
          <w:rFonts w:eastAsia="Calibri"/>
        </w:rPr>
        <w:t xml:space="preserve"> </w:t>
      </w:r>
      <w:r w:rsidR="002D5EF6">
        <w:rPr>
          <w:rFonts w:eastAsia="Calibri"/>
        </w:rPr>
        <w:t>should laboratory testing be deemed necessary before case closure</w:t>
      </w:r>
      <w:r w:rsidRPr="00E04206">
        <w:rPr>
          <w:rFonts w:eastAsia="Calibri"/>
        </w:rPr>
        <w:t>.</w:t>
      </w:r>
    </w:p>
    <w:p w14:paraId="1D4566C9" w14:textId="77777777" w:rsidR="005C5386" w:rsidRPr="005C5386" w:rsidRDefault="005C5386" w:rsidP="005C5386">
      <w:pPr>
        <w:pStyle w:val="ListParagraph"/>
        <w:spacing w:after="160" w:line="360" w:lineRule="auto"/>
        <w:jc w:val="both"/>
        <w:rPr>
          <w:rFonts w:eastAsia="Calibri"/>
        </w:rPr>
      </w:pPr>
    </w:p>
    <w:p w14:paraId="4391700E" w14:textId="67D10244" w:rsidR="002D5EF6" w:rsidRDefault="002D5EF6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At the discretion of the Case Deputy, notification shall be made to </w:t>
      </w:r>
      <w:r w:rsidR="006D52E5" w:rsidRPr="00E04206">
        <w:rPr>
          <w:rFonts w:eastAsia="Calibri"/>
        </w:rPr>
        <w:t xml:space="preserve">next-of-kin and </w:t>
      </w:r>
      <w:r w:rsidR="00ED352B" w:rsidRPr="00E04206">
        <w:rPr>
          <w:rFonts w:eastAsia="Calibri"/>
        </w:rPr>
        <w:t xml:space="preserve">the </w:t>
      </w:r>
      <w:r w:rsidR="006D52E5" w:rsidRPr="00E04206">
        <w:rPr>
          <w:rFonts w:eastAsia="Calibri"/>
        </w:rPr>
        <w:t>co-investigating agency, if applicable</w:t>
      </w:r>
      <w:r>
        <w:rPr>
          <w:rFonts w:eastAsia="Calibri"/>
        </w:rPr>
        <w:t>, of any testing results.</w:t>
      </w:r>
    </w:p>
    <w:p w14:paraId="492C4C6E" w14:textId="77777777" w:rsidR="00EC4DDA" w:rsidRDefault="00EC4DDA" w:rsidP="00EC4DDA">
      <w:pPr>
        <w:pStyle w:val="ListParagraph"/>
        <w:spacing w:after="160" w:line="360" w:lineRule="auto"/>
        <w:jc w:val="both"/>
        <w:rPr>
          <w:rFonts w:eastAsia="Calibri"/>
        </w:rPr>
      </w:pPr>
    </w:p>
    <w:p w14:paraId="7AB0FE49" w14:textId="171809AC" w:rsidR="00EC4DDA" w:rsidRDefault="00EC4DDA" w:rsidP="00EC4DDA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 w:rsidRPr="00EC4DDA">
        <w:rPr>
          <w:rFonts w:eastAsia="Calibri"/>
        </w:rPr>
        <w:t>The Supervisor of Forensic Services shall keep a log recording the use of the Randox and any statistics as directed by the Coroner.</w:t>
      </w:r>
    </w:p>
    <w:p w14:paraId="2CD08613" w14:textId="77777777" w:rsidR="00EC4DDA" w:rsidRPr="00EC4DDA" w:rsidRDefault="00EC4DDA" w:rsidP="00EC4DDA">
      <w:pPr>
        <w:pStyle w:val="ListParagraph"/>
        <w:spacing w:after="160" w:line="360" w:lineRule="auto"/>
        <w:jc w:val="both"/>
        <w:rPr>
          <w:rFonts w:eastAsia="Calibri"/>
        </w:rPr>
      </w:pPr>
    </w:p>
    <w:p w14:paraId="20D16363" w14:textId="0EB5FD71" w:rsidR="00EC4DDA" w:rsidRDefault="00EC4DDA" w:rsidP="00E04206">
      <w:pPr>
        <w:pStyle w:val="ListParagraph"/>
        <w:numPr>
          <w:ilvl w:val="0"/>
          <w:numId w:val="24"/>
        </w:numPr>
        <w:spacing w:after="160" w:line="360" w:lineRule="auto"/>
        <w:jc w:val="both"/>
        <w:rPr>
          <w:rFonts w:eastAsia="Calibri"/>
        </w:rPr>
      </w:pPr>
      <w:r>
        <w:rPr>
          <w:rFonts w:eastAsia="Calibri"/>
        </w:rPr>
        <w:t>The testing results document shall be uploaded to the case file/documents.</w:t>
      </w:r>
    </w:p>
    <w:p w14:paraId="4CFEDA28" w14:textId="4A413B6C" w:rsidR="00ED352B" w:rsidRPr="00E04206" w:rsidRDefault="00ED352B" w:rsidP="002D5EF6">
      <w:pPr>
        <w:pStyle w:val="ListParagraph"/>
        <w:spacing w:after="160" w:line="360" w:lineRule="auto"/>
        <w:jc w:val="both"/>
        <w:rPr>
          <w:rFonts w:eastAsia="Calibri"/>
        </w:rPr>
      </w:pPr>
      <w:r w:rsidRPr="00E04206">
        <w:rPr>
          <w:rFonts w:eastAsia="Calibri"/>
        </w:rPr>
        <w:t xml:space="preserve"> </w:t>
      </w:r>
    </w:p>
    <w:p w14:paraId="46E309BA" w14:textId="2670987E" w:rsidR="005C5386" w:rsidRPr="00ED352B" w:rsidRDefault="005C5386" w:rsidP="005C5386">
      <w:pPr>
        <w:spacing w:after="16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>5</w:t>
      </w:r>
      <w:r w:rsidR="002D5EF6">
        <w:rPr>
          <w:rFonts w:eastAsia="Calibri"/>
        </w:rPr>
        <w:t>6</w:t>
      </w:r>
      <w:r>
        <w:rPr>
          <w:rFonts w:eastAsia="Calibri"/>
        </w:rPr>
        <w:t xml:space="preserve">.5 </w:t>
      </w:r>
      <w:r w:rsidRPr="00286CE9">
        <w:rPr>
          <w:rFonts w:eastAsia="Calibri"/>
          <w:u w:val="single"/>
        </w:rPr>
        <w:t>T</w:t>
      </w:r>
      <w:r>
        <w:rPr>
          <w:rFonts w:eastAsia="Calibri"/>
          <w:u w:val="single"/>
        </w:rPr>
        <w:t>RAINING</w:t>
      </w:r>
      <w:r w:rsidRPr="00286CE9">
        <w:rPr>
          <w:rFonts w:eastAsia="Calibri"/>
          <w:u w:val="single"/>
        </w:rPr>
        <w:t xml:space="preserve"> PROCEDURES</w:t>
      </w:r>
    </w:p>
    <w:p w14:paraId="605FA8BD" w14:textId="0254BCE6" w:rsidR="005C5386" w:rsidRDefault="00ED352B" w:rsidP="001B6BA8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5C5386">
        <w:rPr>
          <w:rFonts w:eastAsia="Calibri"/>
        </w:rPr>
        <w:t xml:space="preserve">The </w:t>
      </w:r>
      <w:r w:rsidR="006D52E5" w:rsidRPr="005C5386">
        <w:rPr>
          <w:rFonts w:eastAsia="Calibri"/>
        </w:rPr>
        <w:t xml:space="preserve">Supervisor of </w:t>
      </w:r>
      <w:r w:rsidR="005C5386" w:rsidRPr="005C5386">
        <w:rPr>
          <w:rFonts w:eastAsia="Calibri"/>
        </w:rPr>
        <w:t>Forensic Services</w:t>
      </w:r>
      <w:r w:rsidR="006D52E5" w:rsidRPr="005C5386">
        <w:rPr>
          <w:rFonts w:eastAsia="Calibri"/>
        </w:rPr>
        <w:t xml:space="preserve"> is </w:t>
      </w:r>
      <w:r w:rsidRPr="005C5386">
        <w:rPr>
          <w:rFonts w:eastAsia="Calibri"/>
        </w:rPr>
        <w:t xml:space="preserve">responsible for scheduling, </w:t>
      </w:r>
      <w:r w:rsidR="001B6BA8" w:rsidRPr="005C5386">
        <w:rPr>
          <w:rFonts w:eastAsia="Calibri"/>
        </w:rPr>
        <w:t>coordinating,</w:t>
      </w:r>
      <w:r w:rsidRPr="005C5386">
        <w:rPr>
          <w:rFonts w:eastAsia="Calibri"/>
        </w:rPr>
        <w:t xml:space="preserve"> and overseeing training for </w:t>
      </w:r>
      <w:r w:rsidR="002D5EF6">
        <w:rPr>
          <w:rFonts w:eastAsia="Calibri"/>
        </w:rPr>
        <w:t>the autopsy staff in the use of the Randox</w:t>
      </w:r>
      <w:r w:rsidR="006D52E5" w:rsidRPr="005C5386">
        <w:rPr>
          <w:rFonts w:eastAsia="Calibri"/>
        </w:rPr>
        <w:t xml:space="preserve">. </w:t>
      </w:r>
      <w:r w:rsidR="005C5386" w:rsidRPr="005C5386">
        <w:rPr>
          <w:rFonts w:eastAsia="Calibri"/>
        </w:rPr>
        <w:t>All personnel who successfully complete the training shall be included in a training completion log.</w:t>
      </w:r>
    </w:p>
    <w:p w14:paraId="4DEF977F" w14:textId="77777777" w:rsidR="005C5386" w:rsidRPr="005C5386" w:rsidRDefault="005C5386" w:rsidP="005C5386">
      <w:pPr>
        <w:pStyle w:val="ListParagraph"/>
        <w:spacing w:after="160" w:line="360" w:lineRule="auto"/>
        <w:jc w:val="both"/>
        <w:rPr>
          <w:rFonts w:eastAsia="Calibri"/>
        </w:rPr>
      </w:pPr>
    </w:p>
    <w:p w14:paraId="72EDC969" w14:textId="60AB1F7F" w:rsidR="001B6BA8" w:rsidRDefault="006D52E5" w:rsidP="005309B6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5309B6">
        <w:rPr>
          <w:rFonts w:eastAsia="Calibri"/>
        </w:rPr>
        <w:t xml:space="preserve">The training </w:t>
      </w:r>
      <w:r w:rsidR="00ED352B" w:rsidRPr="005309B6">
        <w:rPr>
          <w:rFonts w:eastAsia="Calibri"/>
        </w:rPr>
        <w:t xml:space="preserve">shall </w:t>
      </w:r>
      <w:r w:rsidR="005309B6" w:rsidRPr="005309B6">
        <w:rPr>
          <w:rFonts w:eastAsia="Calibri"/>
        </w:rPr>
        <w:t xml:space="preserve">be in accordance with the manufacturer’s guidelines. </w:t>
      </w:r>
    </w:p>
    <w:p w14:paraId="10260894" w14:textId="77777777" w:rsidR="005309B6" w:rsidRPr="005309B6" w:rsidRDefault="005309B6" w:rsidP="005309B6">
      <w:pPr>
        <w:pStyle w:val="ListParagraph"/>
        <w:spacing w:after="160" w:line="360" w:lineRule="auto"/>
        <w:jc w:val="both"/>
        <w:rPr>
          <w:rFonts w:eastAsia="Calibri"/>
        </w:rPr>
      </w:pPr>
    </w:p>
    <w:p w14:paraId="3D36D8D0" w14:textId="4A4082F4" w:rsidR="00ED352B" w:rsidRDefault="00ED352B" w:rsidP="005309B6">
      <w:pPr>
        <w:pStyle w:val="ListParagraph"/>
        <w:numPr>
          <w:ilvl w:val="0"/>
          <w:numId w:val="20"/>
        </w:numPr>
        <w:spacing w:after="160" w:line="360" w:lineRule="auto"/>
        <w:jc w:val="both"/>
        <w:rPr>
          <w:rFonts w:eastAsia="Calibri"/>
        </w:rPr>
      </w:pPr>
      <w:r w:rsidRPr="005309B6">
        <w:rPr>
          <w:rFonts w:eastAsia="Calibri"/>
        </w:rPr>
        <w:t>Supporting training documentation shall be maintained and available for review.</w:t>
      </w:r>
    </w:p>
    <w:sectPr w:rsidR="00ED352B" w:rsidSect="003F08A4">
      <w:headerReference w:type="default" r:id="rId10"/>
      <w:footerReference w:type="defaul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1784F" w14:textId="77777777" w:rsidR="003F08A4" w:rsidRDefault="003F08A4" w:rsidP="003F08A4">
      <w:r>
        <w:separator/>
      </w:r>
    </w:p>
  </w:endnote>
  <w:endnote w:type="continuationSeparator" w:id="0">
    <w:p w14:paraId="147EEB05" w14:textId="77777777" w:rsidR="003F08A4" w:rsidRDefault="003F08A4" w:rsidP="003F08A4">
      <w:r>
        <w:continuationSeparator/>
      </w:r>
    </w:p>
  </w:endnote>
  <w:endnote w:type="continuationNotice" w:id="1">
    <w:p w14:paraId="4F062D25" w14:textId="77777777" w:rsidR="005D30BF" w:rsidRDefault="005D3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189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23C61E" w14:textId="4447077A" w:rsidR="003F08A4" w:rsidRDefault="003F08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FDEF03" w14:textId="77777777" w:rsidR="003F08A4" w:rsidRDefault="003F0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9094" w14:textId="77777777" w:rsidR="003F08A4" w:rsidRDefault="003F08A4" w:rsidP="003F08A4">
      <w:r>
        <w:separator/>
      </w:r>
    </w:p>
  </w:footnote>
  <w:footnote w:type="continuationSeparator" w:id="0">
    <w:p w14:paraId="39512777" w14:textId="77777777" w:rsidR="003F08A4" w:rsidRDefault="003F08A4" w:rsidP="003F08A4">
      <w:r>
        <w:continuationSeparator/>
      </w:r>
    </w:p>
  </w:footnote>
  <w:footnote w:type="continuationNotice" w:id="1">
    <w:p w14:paraId="56C3730B" w14:textId="77777777" w:rsidR="005D30BF" w:rsidRDefault="005D3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956BD" w14:textId="36F5E486" w:rsidR="003F08A4" w:rsidRDefault="003F08A4">
    <w:pPr>
      <w:pStyle w:val="Header"/>
    </w:pPr>
    <w:r w:rsidRPr="002F00D6">
      <w:rPr>
        <w:bCs/>
        <w:sz w:val="28"/>
        <w:szCs w:val="28"/>
      </w:rPr>
      <w:t>Randox</w:t>
    </w:r>
    <w:r>
      <w:rPr>
        <w:b/>
        <w:sz w:val="28"/>
        <w:szCs w:val="28"/>
      </w:rPr>
      <w:t xml:space="preserve"> </w:t>
    </w:r>
    <w:r w:rsidRPr="00BC4876">
      <w:rPr>
        <w:bCs/>
        <w:sz w:val="28"/>
        <w:szCs w:val="28"/>
      </w:rPr>
      <w:t>Evidence Multistat</w:t>
    </w:r>
    <w:r>
      <w:rPr>
        <w:b/>
        <w:sz w:val="28"/>
        <w:szCs w:val="28"/>
      </w:rPr>
      <w:t xml:space="preserve">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82B2F"/>
    <w:multiLevelType w:val="hybridMultilevel"/>
    <w:tmpl w:val="ACA00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01625"/>
    <w:multiLevelType w:val="hybridMultilevel"/>
    <w:tmpl w:val="AD32E3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512DD"/>
    <w:multiLevelType w:val="hybridMultilevel"/>
    <w:tmpl w:val="A3BC04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27F35"/>
    <w:multiLevelType w:val="hybridMultilevel"/>
    <w:tmpl w:val="371C9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71726"/>
    <w:multiLevelType w:val="hybridMultilevel"/>
    <w:tmpl w:val="885A8DF8"/>
    <w:lvl w:ilvl="0" w:tplc="D1B4A444">
      <w:numFmt w:val="bullet"/>
      <w:lvlText w:val="•"/>
      <w:lvlJc w:val="left"/>
      <w:pPr>
        <w:ind w:left="714" w:hanging="444"/>
      </w:pPr>
      <w:rPr>
        <w:rFonts w:ascii="Times New Roman" w:eastAsia="Calibri" w:hAnsi="Times New Roman" w:cs="Times New Roman" w:hint="default"/>
      </w:rPr>
    </w:lvl>
    <w:lvl w:ilvl="1" w:tplc="0ACA2BA4">
      <w:numFmt w:val="bullet"/>
      <w:lvlText w:val=""/>
      <w:lvlJc w:val="left"/>
      <w:pPr>
        <w:ind w:left="1434" w:hanging="444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 w15:restartNumberingAfterBreak="0">
    <w:nsid w:val="29B302A7"/>
    <w:multiLevelType w:val="hybridMultilevel"/>
    <w:tmpl w:val="FEC0B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9405B"/>
    <w:multiLevelType w:val="hybridMultilevel"/>
    <w:tmpl w:val="4D74E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B6CF9"/>
    <w:multiLevelType w:val="hybridMultilevel"/>
    <w:tmpl w:val="9DAA1F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9176A"/>
    <w:multiLevelType w:val="hybridMultilevel"/>
    <w:tmpl w:val="C1A69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187A"/>
    <w:multiLevelType w:val="hybridMultilevel"/>
    <w:tmpl w:val="55C0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63129"/>
    <w:multiLevelType w:val="hybridMultilevel"/>
    <w:tmpl w:val="72128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D31BE"/>
    <w:multiLevelType w:val="hybridMultilevel"/>
    <w:tmpl w:val="ED8256C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46050161"/>
    <w:multiLevelType w:val="hybridMultilevel"/>
    <w:tmpl w:val="D42C2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5485A7E">
      <w:start w:val="3"/>
      <w:numFmt w:val="bullet"/>
      <w:lvlText w:val="•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81F3B"/>
    <w:multiLevelType w:val="hybridMultilevel"/>
    <w:tmpl w:val="88E41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6E55"/>
    <w:multiLevelType w:val="hybridMultilevel"/>
    <w:tmpl w:val="EE526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D0F93"/>
    <w:multiLevelType w:val="hybridMultilevel"/>
    <w:tmpl w:val="45AAE9D8"/>
    <w:lvl w:ilvl="0" w:tplc="D1B4A444">
      <w:numFmt w:val="bullet"/>
      <w:lvlText w:val="•"/>
      <w:lvlJc w:val="left"/>
      <w:pPr>
        <w:ind w:left="1704" w:hanging="444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63127114"/>
    <w:multiLevelType w:val="hybridMultilevel"/>
    <w:tmpl w:val="82628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575A7"/>
    <w:multiLevelType w:val="hybridMultilevel"/>
    <w:tmpl w:val="A036DE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40978"/>
    <w:multiLevelType w:val="hybridMultilevel"/>
    <w:tmpl w:val="E4D45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6E15A5"/>
    <w:multiLevelType w:val="hybridMultilevel"/>
    <w:tmpl w:val="FCB089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716A77"/>
    <w:multiLevelType w:val="hybridMultilevel"/>
    <w:tmpl w:val="D128A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61497"/>
    <w:multiLevelType w:val="hybridMultilevel"/>
    <w:tmpl w:val="4B068D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40075"/>
    <w:multiLevelType w:val="hybridMultilevel"/>
    <w:tmpl w:val="584CC4C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79185BAC"/>
    <w:multiLevelType w:val="hybridMultilevel"/>
    <w:tmpl w:val="49D61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262163">
    <w:abstractNumId w:val="19"/>
  </w:num>
  <w:num w:numId="2" w16cid:durableId="1312444232">
    <w:abstractNumId w:val="10"/>
  </w:num>
  <w:num w:numId="3" w16cid:durableId="1639070157">
    <w:abstractNumId w:val="11"/>
  </w:num>
  <w:num w:numId="4" w16cid:durableId="480969383">
    <w:abstractNumId w:val="4"/>
  </w:num>
  <w:num w:numId="5" w16cid:durableId="764764341">
    <w:abstractNumId w:val="15"/>
  </w:num>
  <w:num w:numId="6" w16cid:durableId="1118841664">
    <w:abstractNumId w:val="22"/>
  </w:num>
  <w:num w:numId="7" w16cid:durableId="767772129">
    <w:abstractNumId w:val="1"/>
  </w:num>
  <w:num w:numId="8" w16cid:durableId="214967971">
    <w:abstractNumId w:val="21"/>
  </w:num>
  <w:num w:numId="9" w16cid:durableId="967973201">
    <w:abstractNumId w:val="17"/>
  </w:num>
  <w:num w:numId="10" w16cid:durableId="1481144278">
    <w:abstractNumId w:val="3"/>
  </w:num>
  <w:num w:numId="11" w16cid:durableId="940453652">
    <w:abstractNumId w:val="12"/>
  </w:num>
  <w:num w:numId="12" w16cid:durableId="1931813647">
    <w:abstractNumId w:val="7"/>
  </w:num>
  <w:num w:numId="13" w16cid:durableId="1249535573">
    <w:abstractNumId w:val="5"/>
  </w:num>
  <w:num w:numId="14" w16cid:durableId="588661875">
    <w:abstractNumId w:val="16"/>
  </w:num>
  <w:num w:numId="15" w16cid:durableId="764881683">
    <w:abstractNumId w:val="8"/>
  </w:num>
  <w:num w:numId="16" w16cid:durableId="1745565339">
    <w:abstractNumId w:val="0"/>
  </w:num>
  <w:num w:numId="17" w16cid:durableId="1527988237">
    <w:abstractNumId w:val="18"/>
  </w:num>
  <w:num w:numId="18" w16cid:durableId="325404160">
    <w:abstractNumId w:val="9"/>
  </w:num>
  <w:num w:numId="19" w16cid:durableId="407385710">
    <w:abstractNumId w:val="13"/>
  </w:num>
  <w:num w:numId="20" w16cid:durableId="319426311">
    <w:abstractNumId w:val="6"/>
  </w:num>
  <w:num w:numId="21" w16cid:durableId="71045603">
    <w:abstractNumId w:val="2"/>
  </w:num>
  <w:num w:numId="22" w16cid:durableId="929193218">
    <w:abstractNumId w:val="20"/>
  </w:num>
  <w:num w:numId="23" w16cid:durableId="675423610">
    <w:abstractNumId w:val="23"/>
  </w:num>
  <w:num w:numId="24" w16cid:durableId="10287975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8F"/>
    <w:rsid w:val="001411E9"/>
    <w:rsid w:val="0019187E"/>
    <w:rsid w:val="001B6BA8"/>
    <w:rsid w:val="001E21B3"/>
    <w:rsid w:val="0022184B"/>
    <w:rsid w:val="00222383"/>
    <w:rsid w:val="002561F0"/>
    <w:rsid w:val="002701A6"/>
    <w:rsid w:val="00286CE9"/>
    <w:rsid w:val="002D5EF6"/>
    <w:rsid w:val="002F00D6"/>
    <w:rsid w:val="003F08A4"/>
    <w:rsid w:val="00416943"/>
    <w:rsid w:val="004C766F"/>
    <w:rsid w:val="005205F2"/>
    <w:rsid w:val="005309B6"/>
    <w:rsid w:val="005468B3"/>
    <w:rsid w:val="005752DC"/>
    <w:rsid w:val="005C5386"/>
    <w:rsid w:val="005D30BF"/>
    <w:rsid w:val="006017E3"/>
    <w:rsid w:val="0061223D"/>
    <w:rsid w:val="006D52E5"/>
    <w:rsid w:val="006D7A92"/>
    <w:rsid w:val="00710E8F"/>
    <w:rsid w:val="007B531A"/>
    <w:rsid w:val="008417E8"/>
    <w:rsid w:val="00866C2C"/>
    <w:rsid w:val="00890368"/>
    <w:rsid w:val="008A3748"/>
    <w:rsid w:val="008C09FA"/>
    <w:rsid w:val="008F16A3"/>
    <w:rsid w:val="00934BF9"/>
    <w:rsid w:val="009D60E1"/>
    <w:rsid w:val="009F1236"/>
    <w:rsid w:val="00A00056"/>
    <w:rsid w:val="00A25C34"/>
    <w:rsid w:val="00AD2052"/>
    <w:rsid w:val="00B227A9"/>
    <w:rsid w:val="00B63830"/>
    <w:rsid w:val="00BC32A2"/>
    <w:rsid w:val="00BC4876"/>
    <w:rsid w:val="00D220C5"/>
    <w:rsid w:val="00DE0AC8"/>
    <w:rsid w:val="00E04206"/>
    <w:rsid w:val="00EC4DDA"/>
    <w:rsid w:val="00ED3457"/>
    <w:rsid w:val="00ED352B"/>
    <w:rsid w:val="00F92DBA"/>
    <w:rsid w:val="00FC7AD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2AD29"/>
  <w15:docId w15:val="{AAFD09A8-E1BD-499D-B9FB-538C402A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5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2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08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8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F08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8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8E6214-5823-40FE-B43A-B72341882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62043C-9033-4533-833E-6AB8C617340E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8416942f-d982-4ba4-a5b0-104826b4be24"/>
    <ds:schemaRef ds:uri="http://purl.org/dc/terms/"/>
    <ds:schemaRef ds:uri="8ef27eb8-0e3d-496f-b523-771757bdd770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BFC1D6-CAF4-473F-A3B6-20AD0D3B4F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Charleston County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Ritter-Peacock</dc:creator>
  <cp:keywords/>
  <dc:description/>
  <cp:lastModifiedBy>Chisholm, Yujiemi</cp:lastModifiedBy>
  <cp:revision>3</cp:revision>
  <dcterms:created xsi:type="dcterms:W3CDTF">2025-05-21T12:21:00Z</dcterms:created>
  <dcterms:modified xsi:type="dcterms:W3CDTF">2025-05-21T12:22:00Z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