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9"/>
        <w:gridCol w:w="1133"/>
        <w:gridCol w:w="2727"/>
        <w:gridCol w:w="1538"/>
        <w:gridCol w:w="711"/>
        <w:gridCol w:w="704"/>
        <w:gridCol w:w="2033"/>
      </w:tblGrid>
      <w:tr w:rsidR="004A3DA8" w14:paraId="33FC8A2A" w14:textId="77777777" w:rsidTr="0083159C">
        <w:trPr>
          <w:trHeight w:val="576"/>
        </w:trPr>
        <w:tc>
          <w:tcPr>
            <w:tcW w:w="1549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3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265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14BAB4E1" w:rsidR="00435C83" w:rsidRPr="00C96D04" w:rsidRDefault="00BB636B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POSTMORTEM EXAMINATION</w:t>
            </w:r>
          </w:p>
        </w:tc>
        <w:tc>
          <w:tcPr>
            <w:tcW w:w="1415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203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59E95A74" w:rsidR="00435C83" w:rsidRPr="00C96D04" w:rsidRDefault="00F351D7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MO.1.03</w:t>
            </w:r>
          </w:p>
        </w:tc>
      </w:tr>
      <w:tr w:rsidR="0083159C" w14:paraId="053E9FC0" w14:textId="71F50D38" w:rsidTr="0083159C">
        <w:trPr>
          <w:trHeight w:val="443"/>
        </w:trPr>
        <w:tc>
          <w:tcPr>
            <w:tcW w:w="1549" w:type="dxa"/>
            <w:vMerge/>
            <w:tcBorders>
              <w:left w:val="nil"/>
              <w:right w:val="nil"/>
            </w:tcBorders>
          </w:tcPr>
          <w:p w14:paraId="7A4D41EC" w14:textId="77777777" w:rsidR="0083159C" w:rsidRDefault="0083159C" w:rsidP="00186465"/>
        </w:tc>
        <w:tc>
          <w:tcPr>
            <w:tcW w:w="1133" w:type="dxa"/>
            <w:tcBorders>
              <w:left w:val="nil"/>
            </w:tcBorders>
            <w:vAlign w:val="center"/>
          </w:tcPr>
          <w:p w14:paraId="00E704AE" w14:textId="17FA2DB3" w:rsidR="0083159C" w:rsidRPr="00C96D04" w:rsidRDefault="0083159C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265" w:type="dxa"/>
            <w:gridSpan w:val="2"/>
            <w:vAlign w:val="center"/>
          </w:tcPr>
          <w:p w14:paraId="39AB4A1F" w14:textId="0535C27F" w:rsidR="0083159C" w:rsidRPr="00C96D04" w:rsidRDefault="0083159C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Forensic, Pathology</w:t>
            </w:r>
          </w:p>
        </w:tc>
        <w:tc>
          <w:tcPr>
            <w:tcW w:w="1415" w:type="dxa"/>
            <w:gridSpan w:val="2"/>
            <w:vAlign w:val="center"/>
          </w:tcPr>
          <w:p w14:paraId="7B4768F7" w14:textId="53EAA651" w:rsidR="0083159C" w:rsidRPr="00C96D04" w:rsidRDefault="0083159C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2033" w:type="dxa"/>
            <w:tcBorders>
              <w:right w:val="single" w:sz="12" w:space="0" w:color="auto"/>
            </w:tcBorders>
            <w:vAlign w:val="center"/>
          </w:tcPr>
          <w:p w14:paraId="61090977" w14:textId="3D4D5D16" w:rsidR="0083159C" w:rsidRPr="0083159C" w:rsidRDefault="0083159C" w:rsidP="0083159C">
            <w:pPr>
              <w:jc w:val="center"/>
              <w:rPr>
                <w:rFonts w:cstheme="minorHAnsi"/>
              </w:rPr>
            </w:pPr>
            <w:r w:rsidRPr="0083159C">
              <w:rPr>
                <w:rFonts w:cstheme="minorHAnsi"/>
              </w:rPr>
              <w:t xml:space="preserve">Page </w:t>
            </w:r>
            <w:r w:rsidRPr="0083159C">
              <w:rPr>
                <w:rFonts w:cstheme="minorHAnsi"/>
              </w:rPr>
              <w:fldChar w:fldCharType="begin"/>
            </w:r>
            <w:r w:rsidRPr="0083159C">
              <w:rPr>
                <w:rFonts w:cstheme="minorHAnsi"/>
              </w:rPr>
              <w:instrText xml:space="preserve"> PAGE  \* Arabic  \* MERGEFORMAT </w:instrText>
            </w:r>
            <w:r w:rsidRPr="0083159C">
              <w:rPr>
                <w:rFonts w:cstheme="minorHAnsi"/>
              </w:rPr>
              <w:fldChar w:fldCharType="separate"/>
            </w:r>
            <w:r w:rsidRPr="0083159C">
              <w:rPr>
                <w:rFonts w:cstheme="minorHAnsi"/>
                <w:noProof/>
              </w:rPr>
              <w:t>1</w:t>
            </w:r>
            <w:r w:rsidRPr="0083159C">
              <w:rPr>
                <w:rFonts w:cstheme="minorHAnsi"/>
              </w:rPr>
              <w:fldChar w:fldCharType="end"/>
            </w:r>
            <w:r w:rsidRPr="0083159C">
              <w:rPr>
                <w:rFonts w:cstheme="minorHAnsi"/>
              </w:rPr>
              <w:t xml:space="preserve"> of </w:t>
            </w:r>
            <w:r w:rsidRPr="0083159C">
              <w:rPr>
                <w:rFonts w:cstheme="minorHAnsi"/>
              </w:rPr>
              <w:fldChar w:fldCharType="begin"/>
            </w:r>
            <w:r w:rsidRPr="0083159C">
              <w:rPr>
                <w:rFonts w:cstheme="minorHAnsi"/>
              </w:rPr>
              <w:instrText xml:space="preserve"> NUMPAGES  \* Arabic  \* MERGEFORMAT </w:instrText>
            </w:r>
            <w:r w:rsidRPr="0083159C">
              <w:rPr>
                <w:rFonts w:cstheme="minorHAnsi"/>
              </w:rPr>
              <w:fldChar w:fldCharType="separate"/>
            </w:r>
            <w:r w:rsidRPr="0083159C">
              <w:rPr>
                <w:rFonts w:cstheme="minorHAnsi"/>
                <w:noProof/>
              </w:rPr>
              <w:t>3</w:t>
            </w:r>
            <w:r w:rsidRPr="0083159C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83159C">
        <w:trPr>
          <w:trHeight w:val="668"/>
        </w:trPr>
        <w:tc>
          <w:tcPr>
            <w:tcW w:w="2682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727" w:type="dxa"/>
            <w:vAlign w:val="center"/>
          </w:tcPr>
          <w:p w14:paraId="231FC0E5" w14:textId="4FE775DA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249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737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7F16148C" w:rsidR="00F059F0" w:rsidRPr="00C96D04" w:rsidRDefault="005E74D4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B4j,</w:t>
            </w:r>
            <w:r w:rsidR="00A77AFC">
              <w:rPr>
                <w:rFonts w:cstheme="minorHAnsi"/>
              </w:rPr>
              <w:t>C6a</w:t>
            </w:r>
            <w:r w:rsidR="00635650">
              <w:rPr>
                <w:rFonts w:cstheme="minorHAnsi"/>
              </w:rPr>
              <w:t>,C6k</w:t>
            </w:r>
            <w:r w:rsidR="00804BD4">
              <w:rPr>
                <w:rFonts w:cstheme="minorHAnsi"/>
              </w:rPr>
              <w:t>,</w:t>
            </w:r>
            <w:r w:rsidR="00D520E6">
              <w:rPr>
                <w:rFonts w:cstheme="minorHAnsi"/>
              </w:rPr>
              <w:t>C6l,</w:t>
            </w:r>
            <w:r w:rsidR="00804BD4">
              <w:rPr>
                <w:rFonts w:cstheme="minorHAnsi"/>
              </w:rPr>
              <w:t>E2k</w:t>
            </w:r>
            <w:r w:rsidR="00567807">
              <w:rPr>
                <w:rFonts w:cstheme="minorHAnsi"/>
              </w:rPr>
              <w:t>,</w:t>
            </w:r>
            <w:r w:rsidR="009C6FE6">
              <w:rPr>
                <w:rFonts w:cstheme="minorHAnsi"/>
              </w:rPr>
              <w:t>F4f,</w:t>
            </w:r>
            <w:r w:rsidR="00072117">
              <w:rPr>
                <w:rFonts w:cstheme="minorHAnsi"/>
              </w:rPr>
              <w:t xml:space="preserve"> </w:t>
            </w:r>
            <w:r w:rsidR="00567807">
              <w:rPr>
                <w:rFonts w:cstheme="minorHAnsi"/>
              </w:rPr>
              <w:t>F6</w:t>
            </w:r>
            <w:r w:rsidR="00837D95">
              <w:rPr>
                <w:rFonts w:cstheme="minorHAnsi"/>
              </w:rPr>
              <w:t>b,</w:t>
            </w:r>
            <w:r w:rsidR="00072117">
              <w:rPr>
                <w:rFonts w:cstheme="minorHAnsi"/>
              </w:rPr>
              <w:t>F6c,</w:t>
            </w:r>
            <w:r w:rsidR="009C6FE6">
              <w:rPr>
                <w:rFonts w:cstheme="minorHAnsi"/>
              </w:rPr>
              <w:t>F6d,</w:t>
            </w:r>
            <w:r w:rsidR="00837D95">
              <w:rPr>
                <w:rFonts w:cstheme="minorHAnsi"/>
              </w:rPr>
              <w:t>F6e,</w:t>
            </w:r>
            <w:r w:rsidR="009C6FE6">
              <w:rPr>
                <w:rFonts w:cstheme="minorHAnsi"/>
              </w:rPr>
              <w:t>F6g,</w:t>
            </w:r>
            <w:r w:rsidR="00CB4980">
              <w:rPr>
                <w:rFonts w:cstheme="minorHAnsi"/>
              </w:rPr>
              <w:t>F6h,</w:t>
            </w:r>
            <w:r w:rsidR="00837D95">
              <w:rPr>
                <w:rFonts w:cstheme="minorHAnsi"/>
              </w:rPr>
              <w:t>F6</w:t>
            </w:r>
            <w:r w:rsidR="00567807">
              <w:rPr>
                <w:rFonts w:cstheme="minorHAnsi"/>
              </w:rPr>
              <w:t>i</w:t>
            </w:r>
          </w:p>
        </w:tc>
      </w:tr>
      <w:tr w:rsidR="00F059F0" w14:paraId="699B9FF3" w14:textId="77777777" w:rsidTr="0083159C">
        <w:trPr>
          <w:trHeight w:val="740"/>
        </w:trPr>
        <w:tc>
          <w:tcPr>
            <w:tcW w:w="268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727" w:type="dxa"/>
            <w:tcBorders>
              <w:bottom w:val="single" w:sz="12" w:space="0" w:color="auto"/>
            </w:tcBorders>
            <w:vAlign w:val="center"/>
          </w:tcPr>
          <w:p w14:paraId="7A2C4A96" w14:textId="60B74E99" w:rsidR="00F059F0" w:rsidRPr="00C96D04" w:rsidRDefault="005C1A35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17338055" wp14:editId="7E0DCFFD">
                  <wp:simplePos x="0" y="0"/>
                  <wp:positionH relativeFrom="column">
                    <wp:posOffset>-571500</wp:posOffset>
                  </wp:positionH>
                  <wp:positionV relativeFrom="page">
                    <wp:posOffset>-627380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249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737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0A109AD7" w:rsidR="00F059F0" w:rsidRPr="00C96D04" w:rsidRDefault="005515D7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A6</w:t>
            </w:r>
            <w:r w:rsidR="00CA419E">
              <w:rPr>
                <w:rFonts w:cstheme="minorHAnsi"/>
              </w:rPr>
              <w:t>h</w:t>
            </w:r>
            <w:r>
              <w:rPr>
                <w:rFonts w:cstheme="minorHAnsi"/>
              </w:rPr>
              <w:t>,</w:t>
            </w:r>
            <w:r w:rsidR="00F60141">
              <w:rPr>
                <w:rFonts w:cstheme="minorHAnsi"/>
              </w:rPr>
              <w:t>B4a,</w:t>
            </w:r>
            <w:r w:rsidR="00D61279">
              <w:rPr>
                <w:rFonts w:cstheme="minorHAnsi"/>
              </w:rPr>
              <w:t>B4j,</w:t>
            </w:r>
            <w:r w:rsidR="004B32FA">
              <w:rPr>
                <w:rFonts w:cstheme="minorHAnsi"/>
              </w:rPr>
              <w:t>C5a</w:t>
            </w:r>
            <w:r w:rsidR="004F6B0B">
              <w:rPr>
                <w:rFonts w:cstheme="minorHAnsi"/>
              </w:rPr>
              <w:t>,</w:t>
            </w:r>
            <w:r w:rsidR="00D26FE7">
              <w:rPr>
                <w:rFonts w:cstheme="minorHAnsi"/>
              </w:rPr>
              <w:t>C5g,</w:t>
            </w:r>
            <w:r w:rsidR="00611215">
              <w:rPr>
                <w:rFonts w:cstheme="minorHAnsi"/>
              </w:rPr>
              <w:t xml:space="preserve"> </w:t>
            </w:r>
            <w:r w:rsidR="006336A5">
              <w:rPr>
                <w:rFonts w:cstheme="minorHAnsi"/>
              </w:rPr>
              <w:t>C5i,</w:t>
            </w:r>
            <w:r w:rsidR="00611215">
              <w:rPr>
                <w:rFonts w:cstheme="minorHAnsi"/>
              </w:rPr>
              <w:t>C5k,</w:t>
            </w:r>
            <w:r w:rsidR="00A3427F">
              <w:rPr>
                <w:rFonts w:cstheme="minorHAnsi"/>
              </w:rPr>
              <w:t>C5</w:t>
            </w:r>
            <w:r w:rsidR="00CA419E">
              <w:rPr>
                <w:rFonts w:cstheme="minorHAnsi"/>
              </w:rPr>
              <w:t>l</w:t>
            </w:r>
            <w:r w:rsidR="00A3427F">
              <w:rPr>
                <w:rFonts w:cstheme="minorHAnsi"/>
              </w:rPr>
              <w:t>,</w:t>
            </w:r>
            <w:r w:rsidR="006336A5">
              <w:rPr>
                <w:rFonts w:cstheme="minorHAnsi"/>
              </w:rPr>
              <w:t>C5</w:t>
            </w:r>
            <w:r w:rsidR="00CA419E">
              <w:rPr>
                <w:rFonts w:cstheme="minorHAnsi"/>
              </w:rPr>
              <w:t>m</w:t>
            </w:r>
            <w:r w:rsidR="006336A5">
              <w:rPr>
                <w:rFonts w:cstheme="minorHAnsi"/>
              </w:rPr>
              <w:t>,</w:t>
            </w:r>
            <w:r w:rsidR="004F6B0B">
              <w:rPr>
                <w:rFonts w:cstheme="minorHAnsi"/>
              </w:rPr>
              <w:t>D2</w:t>
            </w:r>
            <w:r w:rsidR="00CA419E">
              <w:rPr>
                <w:rFonts w:cstheme="minorHAnsi"/>
              </w:rPr>
              <w:t>d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44AC4181" w14:textId="03BB2885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52A94EE2" w14:textId="6A9970ED" w:rsidR="001412B6" w:rsidRDefault="00A773E5" w:rsidP="00D64F26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Ada County Coroner’s Office </w:t>
      </w:r>
      <w:r w:rsidR="0044492B">
        <w:rPr>
          <w:rFonts w:eastAsia="Times New Roman" w:cstheme="minorHAnsi"/>
          <w:color w:val="000000"/>
          <w:sz w:val="24"/>
          <w:szCs w:val="24"/>
        </w:rPr>
        <w:t xml:space="preserve">(ACCO) </w:t>
      </w:r>
      <w:r>
        <w:rPr>
          <w:rFonts w:eastAsia="Times New Roman" w:cstheme="minorHAnsi"/>
          <w:color w:val="000000"/>
          <w:sz w:val="24"/>
          <w:szCs w:val="24"/>
        </w:rPr>
        <w:t xml:space="preserve">provides </w:t>
      </w:r>
      <w:r w:rsidR="00A5280C">
        <w:rPr>
          <w:rFonts w:eastAsia="Times New Roman" w:cstheme="minorHAnsi"/>
          <w:color w:val="000000"/>
          <w:sz w:val="24"/>
          <w:szCs w:val="24"/>
        </w:rPr>
        <w:t xml:space="preserve">the </w:t>
      </w:r>
      <w:r>
        <w:rPr>
          <w:rFonts w:eastAsia="Times New Roman" w:cstheme="minorHAnsi"/>
          <w:color w:val="000000"/>
          <w:sz w:val="24"/>
          <w:szCs w:val="24"/>
        </w:rPr>
        <w:t>services, equipment, and facilities</w:t>
      </w:r>
      <w:r w:rsidR="00A5280C">
        <w:rPr>
          <w:rFonts w:eastAsia="Times New Roman" w:cstheme="minorHAnsi"/>
          <w:color w:val="000000"/>
          <w:sz w:val="24"/>
          <w:szCs w:val="24"/>
        </w:rPr>
        <w:t xml:space="preserve"> necessary</w:t>
      </w:r>
      <w:r>
        <w:rPr>
          <w:rFonts w:eastAsia="Times New Roman" w:cstheme="minorHAnsi"/>
          <w:color w:val="000000"/>
          <w:sz w:val="24"/>
          <w:szCs w:val="24"/>
        </w:rPr>
        <w:t xml:space="preserve"> to perform </w:t>
      </w:r>
      <w:r w:rsidR="004934C4">
        <w:rPr>
          <w:rFonts w:eastAsia="Times New Roman" w:cstheme="minorHAnsi"/>
          <w:color w:val="000000"/>
          <w:sz w:val="24"/>
          <w:szCs w:val="24"/>
        </w:rPr>
        <w:t xml:space="preserve">forensic </w:t>
      </w:r>
      <w:r>
        <w:rPr>
          <w:rFonts w:eastAsia="Times New Roman" w:cstheme="minorHAnsi"/>
          <w:color w:val="000000"/>
          <w:sz w:val="24"/>
          <w:szCs w:val="24"/>
        </w:rPr>
        <w:t>postmortem examination</w:t>
      </w:r>
      <w:r w:rsidR="00A5280C">
        <w:rPr>
          <w:rFonts w:eastAsia="Times New Roman" w:cstheme="minorHAnsi"/>
          <w:color w:val="000000"/>
          <w:sz w:val="24"/>
          <w:szCs w:val="24"/>
        </w:rPr>
        <w:t>s</w:t>
      </w:r>
      <w:r>
        <w:rPr>
          <w:rFonts w:eastAsia="Times New Roman" w:cstheme="minorHAnsi"/>
          <w:color w:val="000000"/>
          <w:sz w:val="24"/>
          <w:szCs w:val="24"/>
        </w:rPr>
        <w:t xml:space="preserve"> and</w:t>
      </w:r>
      <w:r w:rsidR="00A5280C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ensure </w:t>
      </w:r>
      <w:r w:rsidR="00A5280C">
        <w:rPr>
          <w:rFonts w:eastAsia="Times New Roman" w:cstheme="minorHAnsi"/>
          <w:color w:val="000000"/>
          <w:sz w:val="24"/>
          <w:szCs w:val="24"/>
        </w:rPr>
        <w:t>accepted</w:t>
      </w:r>
      <w:r>
        <w:rPr>
          <w:rFonts w:eastAsia="Times New Roman" w:cstheme="minorHAnsi"/>
          <w:color w:val="000000"/>
          <w:sz w:val="24"/>
          <w:szCs w:val="24"/>
        </w:rPr>
        <w:t xml:space="preserve"> procedures</w:t>
      </w:r>
      <w:r w:rsidR="00EB65E7">
        <w:rPr>
          <w:rFonts w:eastAsia="Times New Roman" w:cstheme="minorHAnsi"/>
          <w:color w:val="000000"/>
          <w:sz w:val="24"/>
          <w:szCs w:val="24"/>
        </w:rPr>
        <w:t xml:space="preserve"> are</w:t>
      </w:r>
      <w:r>
        <w:rPr>
          <w:rFonts w:eastAsia="Times New Roman" w:cstheme="minorHAnsi"/>
          <w:color w:val="000000"/>
          <w:sz w:val="24"/>
          <w:szCs w:val="24"/>
        </w:rPr>
        <w:t xml:space="preserve"> in accordance with </w:t>
      </w:r>
      <w:r w:rsidR="00BF5A34">
        <w:rPr>
          <w:rFonts w:eastAsia="Times New Roman" w:cstheme="minorHAnsi"/>
          <w:color w:val="000000"/>
          <w:sz w:val="24"/>
          <w:szCs w:val="24"/>
        </w:rPr>
        <w:t xml:space="preserve">statutory </w:t>
      </w:r>
      <w:r w:rsidR="006C35F6">
        <w:rPr>
          <w:rFonts w:eastAsia="Times New Roman" w:cstheme="minorHAnsi"/>
          <w:color w:val="000000"/>
          <w:sz w:val="24"/>
          <w:szCs w:val="24"/>
        </w:rPr>
        <w:t xml:space="preserve">regulations, </w:t>
      </w:r>
      <w:r>
        <w:rPr>
          <w:rFonts w:eastAsia="Times New Roman" w:cstheme="minorHAnsi"/>
          <w:color w:val="000000"/>
          <w:sz w:val="24"/>
          <w:szCs w:val="24"/>
        </w:rPr>
        <w:t>the mission of the ACCO</w:t>
      </w:r>
      <w:r w:rsidR="00D17FEA">
        <w:rPr>
          <w:rFonts w:eastAsia="Times New Roman" w:cstheme="minorHAnsi"/>
          <w:color w:val="000000"/>
          <w:sz w:val="24"/>
          <w:szCs w:val="24"/>
        </w:rPr>
        <w:t>, College of American Pathologists (CAP) standards, and Forensic Autopsy Performance Standards.</w:t>
      </w:r>
    </w:p>
    <w:p w14:paraId="0480E994" w14:textId="608D742F" w:rsidR="001412B6" w:rsidRP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13EBFBED" w14:textId="225665C6" w:rsidR="000331E0" w:rsidRPr="001942A1" w:rsidRDefault="001412B6" w:rsidP="001942A1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1423A62B" w14:textId="09060969" w:rsidR="001942A1" w:rsidRDefault="007222BA" w:rsidP="0047553F">
      <w:pPr>
        <w:spacing w:before="161" w:line="276" w:lineRule="auto"/>
        <w:ind w:right="144"/>
        <w:jc w:val="both"/>
        <w:textAlignment w:val="baseline"/>
        <w:rPr>
          <w:rFonts w:eastAsiaTheme="minorEastAsia"/>
          <w:sz w:val="24"/>
          <w:szCs w:val="24"/>
        </w:rPr>
      </w:pPr>
      <w:r w:rsidRPr="009D110F">
        <w:rPr>
          <w:rFonts w:eastAsia="Times New Roman" w:cstheme="minorHAnsi"/>
          <w:color w:val="000000"/>
          <w:sz w:val="24"/>
          <w:szCs w:val="24"/>
        </w:rPr>
        <w:t>At all times,</w:t>
      </w:r>
      <w:r w:rsidRPr="009D110F">
        <w:rPr>
          <w:rFonts w:eastAsiaTheme="minorEastAsia"/>
          <w:sz w:val="24"/>
          <w:szCs w:val="24"/>
        </w:rPr>
        <w:t xml:space="preserve"> care </w:t>
      </w:r>
      <w:r w:rsidR="00C64BEF">
        <w:rPr>
          <w:rFonts w:eastAsiaTheme="minorEastAsia"/>
          <w:sz w:val="24"/>
          <w:szCs w:val="24"/>
        </w:rPr>
        <w:t>will</w:t>
      </w:r>
      <w:r w:rsidRPr="009D110F">
        <w:rPr>
          <w:rFonts w:eastAsiaTheme="minorEastAsia"/>
          <w:sz w:val="24"/>
          <w:szCs w:val="24"/>
        </w:rPr>
        <w:t xml:space="preserve"> be exercised to ensure privacy</w:t>
      </w:r>
      <w:r w:rsidR="00D17FEA">
        <w:rPr>
          <w:rFonts w:eastAsiaTheme="minorEastAsia"/>
          <w:sz w:val="24"/>
          <w:szCs w:val="24"/>
        </w:rPr>
        <w:t xml:space="preserve"> and integrity</w:t>
      </w:r>
      <w:r w:rsidRPr="009D110F">
        <w:rPr>
          <w:rFonts w:eastAsiaTheme="minorEastAsia"/>
          <w:sz w:val="24"/>
          <w:szCs w:val="24"/>
        </w:rPr>
        <w:t xml:space="preserve"> for </w:t>
      </w:r>
      <w:r w:rsidR="00A56C53">
        <w:rPr>
          <w:rFonts w:eastAsiaTheme="minorEastAsia"/>
          <w:sz w:val="24"/>
          <w:szCs w:val="24"/>
        </w:rPr>
        <w:t xml:space="preserve">the </w:t>
      </w:r>
      <w:r w:rsidRPr="009D110F">
        <w:rPr>
          <w:rFonts w:eastAsiaTheme="minorEastAsia"/>
          <w:sz w:val="24"/>
          <w:szCs w:val="24"/>
        </w:rPr>
        <w:t xml:space="preserve">decedent is maintained. </w:t>
      </w:r>
    </w:p>
    <w:p w14:paraId="7AB68471" w14:textId="07757566" w:rsidR="00A64593" w:rsidRPr="00270340" w:rsidRDefault="00A64593" w:rsidP="0047553F">
      <w:pPr>
        <w:pStyle w:val="ListParagraph"/>
        <w:numPr>
          <w:ilvl w:val="0"/>
          <w:numId w:val="8"/>
        </w:numPr>
        <w:ind w:left="180"/>
        <w:jc w:val="both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General</w:t>
      </w:r>
    </w:p>
    <w:p w14:paraId="4703ED55" w14:textId="080F96E4" w:rsidR="00A64593" w:rsidRDefault="00A64593" w:rsidP="0047553F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Proper </w:t>
      </w:r>
      <w:r w:rsidR="00D17FEA">
        <w:rPr>
          <w:rFonts w:eastAsiaTheme="minorEastAsia"/>
          <w:sz w:val="24"/>
          <w:szCs w:val="24"/>
        </w:rPr>
        <w:t>personal protective equipment (</w:t>
      </w:r>
      <w:r>
        <w:rPr>
          <w:rFonts w:eastAsiaTheme="minorEastAsia"/>
          <w:sz w:val="24"/>
          <w:szCs w:val="24"/>
        </w:rPr>
        <w:t>PPE</w:t>
      </w:r>
      <w:r w:rsidR="00D17FEA"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 xml:space="preserve"> </w:t>
      </w:r>
      <w:r w:rsidR="00A77AFC">
        <w:rPr>
          <w:rFonts w:eastAsiaTheme="minorEastAsia"/>
          <w:sz w:val="24"/>
          <w:szCs w:val="24"/>
        </w:rPr>
        <w:t xml:space="preserve">donning and doffing, and universal precautions </w:t>
      </w:r>
      <w:r>
        <w:rPr>
          <w:rFonts w:eastAsiaTheme="minorEastAsia"/>
          <w:sz w:val="24"/>
          <w:szCs w:val="24"/>
        </w:rPr>
        <w:t xml:space="preserve">shall be taken for </w:t>
      </w:r>
      <w:r w:rsidR="00A56C53">
        <w:rPr>
          <w:rFonts w:eastAsiaTheme="minorEastAsia"/>
          <w:sz w:val="24"/>
          <w:szCs w:val="24"/>
        </w:rPr>
        <w:t>every postmortem examination</w:t>
      </w:r>
      <w:r w:rsidR="00D17FEA">
        <w:rPr>
          <w:rFonts w:eastAsiaTheme="minorEastAsia"/>
          <w:sz w:val="24"/>
          <w:szCs w:val="24"/>
        </w:rPr>
        <w:t xml:space="preserve"> by all individuals present at the time of the exam.</w:t>
      </w:r>
    </w:p>
    <w:p w14:paraId="61E7CB57" w14:textId="350B7365" w:rsidR="009C6FE6" w:rsidRDefault="009C6FE6" w:rsidP="0047553F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Participants and observers present at the time of the postmortem examination shall be documented.</w:t>
      </w:r>
    </w:p>
    <w:p w14:paraId="7CB4A4ED" w14:textId="72A8C7E6" w:rsidR="00A64593" w:rsidRDefault="00A64593" w:rsidP="0047553F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Decedent identification shall be confirmed prior t</w:t>
      </w:r>
      <w:r w:rsidR="008B105E">
        <w:rPr>
          <w:rFonts w:eastAsiaTheme="minorEastAsia"/>
          <w:sz w:val="24"/>
          <w:szCs w:val="24"/>
        </w:rPr>
        <w:t xml:space="preserve">o </w:t>
      </w:r>
      <w:r>
        <w:rPr>
          <w:rFonts w:eastAsiaTheme="minorEastAsia"/>
          <w:sz w:val="24"/>
          <w:szCs w:val="24"/>
        </w:rPr>
        <w:t>examination.</w:t>
      </w:r>
    </w:p>
    <w:p w14:paraId="7805EAD1" w14:textId="6D346052" w:rsidR="00A64593" w:rsidRPr="00CD705F" w:rsidRDefault="00D02CAE" w:rsidP="0047553F">
      <w:pPr>
        <w:pStyle w:val="ListParagraph"/>
        <w:numPr>
          <w:ilvl w:val="2"/>
          <w:numId w:val="8"/>
        </w:numPr>
        <w:ind w:left="1620"/>
        <w:jc w:val="both"/>
        <w:rPr>
          <w:rFonts w:eastAsiaTheme="minorEastAsia"/>
          <w:sz w:val="24"/>
          <w:szCs w:val="24"/>
        </w:rPr>
      </w:pPr>
      <w:r w:rsidRPr="00CD705F">
        <w:rPr>
          <w:rFonts w:eastAsiaTheme="minorEastAsia"/>
          <w:sz w:val="24"/>
          <w:szCs w:val="24"/>
        </w:rPr>
        <w:t>If</w:t>
      </w:r>
      <w:r w:rsidR="00A64593" w:rsidRPr="00CD705F">
        <w:rPr>
          <w:rFonts w:eastAsiaTheme="minorEastAsia"/>
          <w:sz w:val="24"/>
          <w:szCs w:val="24"/>
        </w:rPr>
        <w:t xml:space="preserve"> </w:t>
      </w:r>
      <w:r w:rsidR="00C418AF" w:rsidRPr="00CD705F">
        <w:rPr>
          <w:rFonts w:eastAsiaTheme="minorEastAsia"/>
          <w:sz w:val="24"/>
          <w:szCs w:val="24"/>
        </w:rPr>
        <w:t xml:space="preserve">identification is unknown, </w:t>
      </w:r>
      <w:r w:rsidRPr="00CD705F">
        <w:rPr>
          <w:rFonts w:eastAsiaTheme="minorEastAsia"/>
          <w:sz w:val="24"/>
          <w:szCs w:val="24"/>
        </w:rPr>
        <w:t xml:space="preserve">procedures will follow ACCO Policy: </w:t>
      </w:r>
      <w:r w:rsidRPr="00CD705F">
        <w:rPr>
          <w:rFonts w:eastAsiaTheme="minorEastAsia"/>
          <w:i/>
          <w:iCs/>
          <w:sz w:val="24"/>
          <w:szCs w:val="24"/>
        </w:rPr>
        <w:t>Identification</w:t>
      </w:r>
      <w:r w:rsidRPr="00CD705F">
        <w:rPr>
          <w:rFonts w:eastAsiaTheme="minorEastAsia"/>
          <w:sz w:val="24"/>
          <w:szCs w:val="24"/>
        </w:rPr>
        <w:t xml:space="preserve">. </w:t>
      </w:r>
    </w:p>
    <w:p w14:paraId="5019CC3C" w14:textId="40021B71" w:rsidR="00A64593" w:rsidRPr="00CD705F" w:rsidRDefault="00A64593" w:rsidP="0047553F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 w:rsidRPr="00CD705F">
        <w:rPr>
          <w:rFonts w:eastAsiaTheme="minorEastAsia"/>
          <w:sz w:val="24"/>
          <w:szCs w:val="24"/>
        </w:rPr>
        <w:t>Personal effect</w:t>
      </w:r>
      <w:r w:rsidR="00D02CAE" w:rsidRPr="00CD705F">
        <w:rPr>
          <w:rFonts w:eastAsiaTheme="minorEastAsia"/>
          <w:sz w:val="24"/>
          <w:szCs w:val="24"/>
        </w:rPr>
        <w:t>s</w:t>
      </w:r>
      <w:r w:rsidRPr="00CD705F">
        <w:rPr>
          <w:rFonts w:eastAsiaTheme="minorEastAsia"/>
          <w:sz w:val="24"/>
          <w:szCs w:val="24"/>
        </w:rPr>
        <w:t xml:space="preserve"> intake, documentation, and release shall follow ACCO </w:t>
      </w:r>
      <w:r w:rsidR="00D02CAE" w:rsidRPr="00CD705F">
        <w:rPr>
          <w:rFonts w:eastAsiaTheme="minorEastAsia"/>
          <w:sz w:val="24"/>
          <w:szCs w:val="24"/>
        </w:rPr>
        <w:t>P</w:t>
      </w:r>
      <w:r w:rsidRPr="00CD705F">
        <w:rPr>
          <w:rFonts w:eastAsiaTheme="minorEastAsia"/>
          <w:sz w:val="24"/>
          <w:szCs w:val="24"/>
        </w:rPr>
        <w:t>olicy</w:t>
      </w:r>
      <w:r w:rsidR="00D02CAE" w:rsidRPr="00CD705F">
        <w:rPr>
          <w:rFonts w:eastAsiaTheme="minorEastAsia"/>
          <w:sz w:val="24"/>
          <w:szCs w:val="24"/>
        </w:rPr>
        <w:t xml:space="preserve">: </w:t>
      </w:r>
      <w:r w:rsidR="00D02CAE" w:rsidRPr="00CD705F">
        <w:rPr>
          <w:rFonts w:eastAsiaTheme="minorEastAsia"/>
          <w:i/>
          <w:iCs/>
          <w:sz w:val="24"/>
          <w:szCs w:val="24"/>
        </w:rPr>
        <w:t>Personal Effects</w:t>
      </w:r>
      <w:r w:rsidR="00D02CAE" w:rsidRPr="00CD705F">
        <w:rPr>
          <w:rFonts w:eastAsiaTheme="minorEastAsia"/>
          <w:sz w:val="24"/>
          <w:szCs w:val="24"/>
        </w:rPr>
        <w:t>.</w:t>
      </w:r>
    </w:p>
    <w:p w14:paraId="291B8F5A" w14:textId="1D39D015" w:rsidR="00527643" w:rsidRPr="00527643" w:rsidRDefault="00527643" w:rsidP="0047553F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Illicit</w:t>
      </w:r>
      <w:r w:rsidRPr="00FF076E">
        <w:rPr>
          <w:rFonts w:eastAsiaTheme="minorEastAsia"/>
          <w:sz w:val="24"/>
          <w:szCs w:val="24"/>
        </w:rPr>
        <w:t xml:space="preserve"> substances</w:t>
      </w:r>
      <w:r>
        <w:rPr>
          <w:rFonts w:eastAsiaTheme="minorEastAsia"/>
          <w:sz w:val="24"/>
          <w:szCs w:val="24"/>
        </w:rPr>
        <w:t xml:space="preserve"> discovered at the time of </w:t>
      </w:r>
      <w:r w:rsidR="00A56C53">
        <w:rPr>
          <w:rFonts w:eastAsiaTheme="minorEastAsia"/>
          <w:sz w:val="24"/>
          <w:szCs w:val="24"/>
        </w:rPr>
        <w:t xml:space="preserve">the </w:t>
      </w:r>
      <w:r>
        <w:rPr>
          <w:rFonts w:eastAsiaTheme="minorEastAsia"/>
          <w:sz w:val="24"/>
          <w:szCs w:val="24"/>
        </w:rPr>
        <w:t>postmortem examination shall be notated in the ACCO case management system and released to the appropriate law enforcement agency</w:t>
      </w:r>
      <w:r w:rsidR="00837D95">
        <w:rPr>
          <w:rFonts w:eastAsiaTheme="minorEastAsia"/>
          <w:sz w:val="24"/>
          <w:szCs w:val="24"/>
        </w:rPr>
        <w:t xml:space="preserve"> complying with standard operating procedures</w:t>
      </w:r>
      <w:r>
        <w:rPr>
          <w:rFonts w:eastAsiaTheme="minorEastAsia"/>
          <w:sz w:val="24"/>
          <w:szCs w:val="24"/>
        </w:rPr>
        <w:t>.</w:t>
      </w:r>
    </w:p>
    <w:p w14:paraId="50601AC6" w14:textId="0F790B9E" w:rsidR="00A64593" w:rsidRPr="00A64593" w:rsidRDefault="008B105E" w:rsidP="0047553F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</w:t>
      </w:r>
      <w:r w:rsidR="00A64593" w:rsidRPr="0047359C">
        <w:rPr>
          <w:rFonts w:eastAsiaTheme="minorEastAsia"/>
          <w:sz w:val="24"/>
          <w:szCs w:val="24"/>
        </w:rPr>
        <w:t xml:space="preserve">he decedent shall be </w:t>
      </w:r>
      <w:r w:rsidR="00BC6A7C">
        <w:rPr>
          <w:rFonts w:eastAsiaTheme="minorEastAsia"/>
          <w:sz w:val="24"/>
          <w:szCs w:val="24"/>
        </w:rPr>
        <w:t>enclosed</w:t>
      </w:r>
      <w:r w:rsidR="00A64593" w:rsidRPr="0047359C">
        <w:rPr>
          <w:rFonts w:eastAsiaTheme="minorEastAsia"/>
          <w:sz w:val="24"/>
          <w:szCs w:val="24"/>
        </w:rPr>
        <w:t xml:space="preserve"> in a </w:t>
      </w:r>
      <w:r w:rsidR="00A64593">
        <w:rPr>
          <w:rFonts w:eastAsiaTheme="minorEastAsia"/>
          <w:sz w:val="24"/>
          <w:szCs w:val="24"/>
        </w:rPr>
        <w:t xml:space="preserve">sealed </w:t>
      </w:r>
      <w:r w:rsidR="00A64593" w:rsidRPr="0047359C">
        <w:rPr>
          <w:rFonts w:eastAsiaTheme="minorEastAsia"/>
          <w:sz w:val="24"/>
          <w:szCs w:val="24"/>
        </w:rPr>
        <w:t xml:space="preserve">body bag, labeled, and secured in </w:t>
      </w:r>
      <w:r w:rsidR="00527643">
        <w:rPr>
          <w:rFonts w:eastAsiaTheme="minorEastAsia"/>
          <w:sz w:val="24"/>
          <w:szCs w:val="24"/>
        </w:rPr>
        <w:t>a</w:t>
      </w:r>
      <w:r w:rsidR="00A64593" w:rsidRPr="0047359C">
        <w:rPr>
          <w:rFonts w:eastAsiaTheme="minorEastAsia"/>
          <w:sz w:val="24"/>
          <w:szCs w:val="24"/>
        </w:rPr>
        <w:t xml:space="preserve"> refrigerated cooler</w:t>
      </w:r>
      <w:r>
        <w:rPr>
          <w:rFonts w:eastAsiaTheme="minorEastAsia"/>
          <w:sz w:val="24"/>
          <w:szCs w:val="24"/>
        </w:rPr>
        <w:t xml:space="preserve"> following examination</w:t>
      </w:r>
      <w:r w:rsidR="00A64593" w:rsidRPr="0047359C">
        <w:rPr>
          <w:rFonts w:eastAsiaTheme="minorEastAsia"/>
          <w:sz w:val="24"/>
          <w:szCs w:val="24"/>
        </w:rPr>
        <w:t>.</w:t>
      </w:r>
    </w:p>
    <w:p w14:paraId="3CE66CE2" w14:textId="77777777" w:rsidR="005C1A35" w:rsidRPr="005C1A35" w:rsidRDefault="005C1A35" w:rsidP="005C1A35">
      <w:pPr>
        <w:spacing w:before="161" w:line="276" w:lineRule="auto"/>
        <w:ind w:left="-180" w:right="144"/>
        <w:jc w:val="both"/>
        <w:textAlignment w:val="baseline"/>
        <w:rPr>
          <w:rFonts w:eastAsia="Times New Roman" w:cstheme="minorHAnsi"/>
          <w:b/>
          <w:bCs/>
          <w:sz w:val="24"/>
          <w:szCs w:val="24"/>
        </w:rPr>
      </w:pPr>
    </w:p>
    <w:p w14:paraId="69E0D9EA" w14:textId="77777777" w:rsidR="005C1A35" w:rsidRPr="005C1A35" w:rsidRDefault="005C1A35" w:rsidP="005C1A35">
      <w:pPr>
        <w:spacing w:before="161" w:line="276" w:lineRule="auto"/>
        <w:ind w:left="-180" w:right="144"/>
        <w:jc w:val="both"/>
        <w:textAlignment w:val="baseline"/>
        <w:rPr>
          <w:rFonts w:eastAsia="Times New Roman" w:cstheme="minorHAnsi"/>
          <w:b/>
          <w:bCs/>
          <w:sz w:val="24"/>
          <w:szCs w:val="24"/>
        </w:rPr>
      </w:pPr>
    </w:p>
    <w:p w14:paraId="70ABC685" w14:textId="7214D86C" w:rsidR="00BF28D4" w:rsidRPr="001942A1" w:rsidRDefault="00BF28D4" w:rsidP="0047553F">
      <w:pPr>
        <w:pStyle w:val="ListParagraph"/>
        <w:numPr>
          <w:ilvl w:val="0"/>
          <w:numId w:val="8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b/>
          <w:bCs/>
          <w:sz w:val="24"/>
          <w:szCs w:val="24"/>
        </w:rPr>
      </w:pPr>
      <w:r w:rsidRPr="001942A1">
        <w:rPr>
          <w:rFonts w:eastAsia="Times New Roman" w:cstheme="minorHAnsi"/>
          <w:b/>
          <w:bCs/>
          <w:sz w:val="24"/>
          <w:szCs w:val="24"/>
        </w:rPr>
        <w:lastRenderedPageBreak/>
        <w:t>Level of Exam</w:t>
      </w:r>
    </w:p>
    <w:p w14:paraId="461D2E58" w14:textId="66F63712" w:rsidR="00E80584" w:rsidRPr="00CD705F" w:rsidRDefault="00E80584" w:rsidP="0047553F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CD705F">
        <w:rPr>
          <w:rFonts w:eastAsia="Times New Roman" w:cstheme="minorHAnsi"/>
          <w:sz w:val="24"/>
          <w:szCs w:val="24"/>
        </w:rPr>
        <w:t xml:space="preserve">The forensic pathologist will determine the level of postmortem examination as stated in ACCO </w:t>
      </w:r>
      <w:r w:rsidR="00DB3441" w:rsidRPr="00CD705F">
        <w:rPr>
          <w:rFonts w:eastAsia="Times New Roman" w:cstheme="minorHAnsi"/>
          <w:sz w:val="24"/>
          <w:szCs w:val="24"/>
        </w:rPr>
        <w:t>P</w:t>
      </w:r>
      <w:r w:rsidRPr="00CD705F">
        <w:rPr>
          <w:rFonts w:eastAsia="Times New Roman" w:cstheme="minorHAnsi"/>
          <w:sz w:val="24"/>
          <w:szCs w:val="24"/>
        </w:rPr>
        <w:t>olicy</w:t>
      </w:r>
      <w:r w:rsidR="00DB3441" w:rsidRPr="00CD705F">
        <w:rPr>
          <w:rFonts w:eastAsia="Times New Roman" w:cstheme="minorHAnsi"/>
          <w:sz w:val="24"/>
          <w:szCs w:val="24"/>
        </w:rPr>
        <w:t xml:space="preserve">: </w:t>
      </w:r>
      <w:r w:rsidR="00DB3441" w:rsidRPr="00CD705F">
        <w:rPr>
          <w:rFonts w:eastAsia="Times New Roman" w:cstheme="minorHAnsi"/>
          <w:i/>
          <w:iCs/>
          <w:sz w:val="24"/>
          <w:szCs w:val="24"/>
        </w:rPr>
        <w:t>Postmortem Examination Level</w:t>
      </w:r>
      <w:r w:rsidR="00DB3441" w:rsidRPr="00CD705F">
        <w:rPr>
          <w:rFonts w:eastAsia="Times New Roman" w:cstheme="minorHAnsi"/>
          <w:sz w:val="24"/>
          <w:szCs w:val="24"/>
        </w:rPr>
        <w:t>.</w:t>
      </w:r>
    </w:p>
    <w:p w14:paraId="30C08167" w14:textId="15EB1DD2" w:rsidR="00C6181D" w:rsidRPr="009C6FE6" w:rsidRDefault="00E80584" w:rsidP="0047553F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80584">
        <w:rPr>
          <w:rFonts w:eastAsia="Times New Roman" w:cstheme="minorHAnsi"/>
          <w:sz w:val="24"/>
          <w:szCs w:val="24"/>
        </w:rPr>
        <w:t>The daily morning staff meeting shall assist the forensic pathologist in determining the level of examination to be conducted.</w:t>
      </w:r>
    </w:p>
    <w:p w14:paraId="7276BFCE" w14:textId="79EDA027" w:rsidR="00F07F1F" w:rsidRPr="00BC6A7C" w:rsidRDefault="00F07F1F" w:rsidP="00BC6A7C">
      <w:pPr>
        <w:pStyle w:val="ListParagraph"/>
        <w:numPr>
          <w:ilvl w:val="0"/>
          <w:numId w:val="8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b/>
          <w:bCs/>
          <w:sz w:val="24"/>
          <w:szCs w:val="24"/>
        </w:rPr>
      </w:pPr>
      <w:r w:rsidRPr="00BC6A7C">
        <w:rPr>
          <w:rFonts w:eastAsia="Times New Roman" w:cstheme="minorHAnsi"/>
          <w:b/>
          <w:bCs/>
          <w:sz w:val="24"/>
          <w:szCs w:val="24"/>
        </w:rPr>
        <w:t>Fingerprints</w:t>
      </w:r>
    </w:p>
    <w:p w14:paraId="0C0ADC36" w14:textId="536D0E49" w:rsidR="00F07F1F" w:rsidRDefault="00F07F1F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 w:rsidRPr="00F07F1F">
        <w:rPr>
          <w:rFonts w:eastAsiaTheme="minorEastAsia"/>
          <w:sz w:val="24"/>
          <w:szCs w:val="24"/>
        </w:rPr>
        <w:t xml:space="preserve">Fingerprints </w:t>
      </w:r>
      <w:r w:rsidR="003D01CE">
        <w:rPr>
          <w:rFonts w:eastAsiaTheme="minorEastAsia"/>
          <w:sz w:val="24"/>
          <w:szCs w:val="24"/>
        </w:rPr>
        <w:t>shall</w:t>
      </w:r>
      <w:r w:rsidRPr="00F07F1F">
        <w:rPr>
          <w:rFonts w:eastAsiaTheme="minorEastAsia"/>
          <w:sz w:val="24"/>
          <w:szCs w:val="24"/>
        </w:rPr>
        <w:t xml:space="preserve"> be taken </w:t>
      </w:r>
      <w:r w:rsidR="00905F8E">
        <w:rPr>
          <w:rFonts w:eastAsiaTheme="minorEastAsia"/>
          <w:sz w:val="24"/>
          <w:szCs w:val="24"/>
        </w:rPr>
        <w:t>and uploaded to the ACCO case management system.</w:t>
      </w:r>
    </w:p>
    <w:p w14:paraId="6A7B6262" w14:textId="346C921C" w:rsidR="00905F8E" w:rsidRDefault="00905F8E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When ridge detail is visible yet unable to be scanned, macro photography shall be utilized.</w:t>
      </w:r>
    </w:p>
    <w:p w14:paraId="527D9C29" w14:textId="5BB48C15" w:rsidR="00905F8E" w:rsidRDefault="00905F8E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In the event</w:t>
      </w:r>
      <w:r w:rsidR="00235F8D">
        <w:rPr>
          <w:rFonts w:eastAsiaTheme="minorEastAsia"/>
          <w:sz w:val="24"/>
          <w:szCs w:val="24"/>
        </w:rPr>
        <w:t xml:space="preserve"> neither</w:t>
      </w:r>
      <w:r>
        <w:rPr>
          <w:rFonts w:eastAsiaTheme="minorEastAsia"/>
          <w:sz w:val="24"/>
          <w:szCs w:val="24"/>
        </w:rPr>
        <w:t xml:space="preserve"> fingerprints </w:t>
      </w:r>
      <w:r w:rsidR="00235F8D">
        <w:rPr>
          <w:rFonts w:eastAsiaTheme="minorEastAsia"/>
          <w:sz w:val="24"/>
          <w:szCs w:val="24"/>
        </w:rPr>
        <w:t>n</w:t>
      </w:r>
      <w:r>
        <w:rPr>
          <w:rFonts w:eastAsiaTheme="minorEastAsia"/>
          <w:sz w:val="24"/>
          <w:szCs w:val="24"/>
        </w:rPr>
        <w:t xml:space="preserve">or macro photography are </w:t>
      </w:r>
      <w:r w:rsidR="00235F8D">
        <w:rPr>
          <w:rFonts w:eastAsiaTheme="minorEastAsia"/>
          <w:sz w:val="24"/>
          <w:szCs w:val="24"/>
        </w:rPr>
        <w:t>obtainable,</w:t>
      </w:r>
      <w:r>
        <w:rPr>
          <w:rFonts w:eastAsiaTheme="minorEastAsia"/>
          <w:sz w:val="24"/>
          <w:szCs w:val="24"/>
        </w:rPr>
        <w:t xml:space="preserve"> </w:t>
      </w:r>
      <w:r w:rsidR="00235F8D">
        <w:rPr>
          <w:rFonts w:eastAsiaTheme="minorEastAsia"/>
          <w:sz w:val="24"/>
          <w:szCs w:val="24"/>
        </w:rPr>
        <w:t>a notation</w:t>
      </w:r>
      <w:r>
        <w:rPr>
          <w:rFonts w:eastAsiaTheme="minorEastAsia"/>
          <w:sz w:val="24"/>
          <w:szCs w:val="24"/>
        </w:rPr>
        <w:t xml:space="preserve"> shall be made in the ACCO case management system.</w:t>
      </w:r>
    </w:p>
    <w:p w14:paraId="1C0E969A" w14:textId="77777777" w:rsidR="002C6791" w:rsidRDefault="002C6791" w:rsidP="00BC6A7C">
      <w:pPr>
        <w:pStyle w:val="ListParagraph"/>
        <w:numPr>
          <w:ilvl w:val="0"/>
          <w:numId w:val="8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F6359">
        <w:rPr>
          <w:rFonts w:eastAsia="Times New Roman" w:cstheme="minorHAnsi"/>
          <w:b/>
          <w:bCs/>
          <w:color w:val="000000"/>
          <w:sz w:val="24"/>
          <w:szCs w:val="24"/>
        </w:rPr>
        <w:t>Photography</w:t>
      </w:r>
    </w:p>
    <w:p w14:paraId="169EEE78" w14:textId="28045123" w:rsidR="00E1349E" w:rsidRDefault="002C6791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 w:rsidRPr="00705FFA">
        <w:rPr>
          <w:rFonts w:eastAsiaTheme="minorEastAsia"/>
          <w:sz w:val="24"/>
          <w:szCs w:val="24"/>
        </w:rPr>
        <w:t xml:space="preserve">Photographs </w:t>
      </w:r>
      <w:r w:rsidR="008B428D">
        <w:rPr>
          <w:rFonts w:eastAsiaTheme="minorEastAsia"/>
          <w:sz w:val="24"/>
          <w:szCs w:val="24"/>
        </w:rPr>
        <w:t>shall be taken of all decedents brought into the ACCO</w:t>
      </w:r>
      <w:r w:rsidR="00234F8A">
        <w:rPr>
          <w:rFonts w:eastAsiaTheme="minorEastAsia"/>
          <w:sz w:val="24"/>
          <w:szCs w:val="24"/>
        </w:rPr>
        <w:t>, to include decedents of non-jurisdictional release</w:t>
      </w:r>
      <w:r w:rsidR="00A56C53">
        <w:rPr>
          <w:rFonts w:eastAsiaTheme="minorEastAsia"/>
          <w:sz w:val="24"/>
          <w:szCs w:val="24"/>
        </w:rPr>
        <w:t xml:space="preserve"> (NJR)</w:t>
      </w:r>
      <w:r w:rsidR="00234F8A">
        <w:rPr>
          <w:rFonts w:eastAsiaTheme="minorEastAsia"/>
          <w:sz w:val="24"/>
          <w:szCs w:val="24"/>
        </w:rPr>
        <w:t xml:space="preserve"> brought in for storage</w:t>
      </w:r>
      <w:r w:rsidR="00E1349E">
        <w:rPr>
          <w:rFonts w:eastAsiaTheme="minorEastAsia"/>
          <w:sz w:val="24"/>
          <w:szCs w:val="24"/>
        </w:rPr>
        <w:t>.</w:t>
      </w:r>
    </w:p>
    <w:p w14:paraId="1A8CFB5E" w14:textId="4EABFC24" w:rsidR="008B428D" w:rsidRDefault="003B08DA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number and type of</w:t>
      </w:r>
      <w:r w:rsidR="008B428D">
        <w:rPr>
          <w:rFonts w:eastAsiaTheme="minorEastAsia"/>
          <w:sz w:val="24"/>
          <w:szCs w:val="24"/>
        </w:rPr>
        <w:t xml:space="preserve"> photographs </w:t>
      </w:r>
      <w:r w:rsidR="00E1349E">
        <w:rPr>
          <w:rFonts w:eastAsiaTheme="minorEastAsia"/>
          <w:sz w:val="24"/>
          <w:szCs w:val="24"/>
        </w:rPr>
        <w:t xml:space="preserve">shall </w:t>
      </w:r>
      <w:r>
        <w:rPr>
          <w:rFonts w:eastAsiaTheme="minorEastAsia"/>
          <w:sz w:val="24"/>
          <w:szCs w:val="24"/>
        </w:rPr>
        <w:t>follow</w:t>
      </w:r>
      <w:r w:rsidR="00A56C53">
        <w:rPr>
          <w:rFonts w:eastAsiaTheme="minorEastAsia"/>
          <w:sz w:val="24"/>
          <w:szCs w:val="24"/>
        </w:rPr>
        <w:t xml:space="preserve"> best practice and</w:t>
      </w:r>
      <w:r>
        <w:rPr>
          <w:rFonts w:eastAsiaTheme="minorEastAsia"/>
          <w:sz w:val="24"/>
          <w:szCs w:val="24"/>
        </w:rPr>
        <w:t xml:space="preserve"> standard operating procedures for</w:t>
      </w:r>
      <w:r w:rsidR="00E1349E">
        <w:rPr>
          <w:rFonts w:eastAsiaTheme="minorEastAsia"/>
          <w:sz w:val="24"/>
          <w:szCs w:val="24"/>
        </w:rPr>
        <w:t xml:space="preserve"> postmortem exam</w:t>
      </w:r>
      <w:r w:rsidR="00DB3441">
        <w:rPr>
          <w:rFonts w:eastAsiaTheme="minorEastAsia"/>
          <w:sz w:val="24"/>
          <w:szCs w:val="24"/>
        </w:rPr>
        <w:t>ination</w:t>
      </w:r>
      <w:r w:rsidR="00234F8A">
        <w:rPr>
          <w:rFonts w:eastAsiaTheme="minorEastAsia"/>
          <w:sz w:val="24"/>
          <w:szCs w:val="24"/>
        </w:rPr>
        <w:t xml:space="preserve"> level</w:t>
      </w:r>
      <w:r w:rsidR="008B428D">
        <w:rPr>
          <w:rFonts w:eastAsiaTheme="minorEastAsia"/>
          <w:sz w:val="24"/>
          <w:szCs w:val="24"/>
        </w:rPr>
        <w:t>.</w:t>
      </w:r>
    </w:p>
    <w:p w14:paraId="36F4C812" w14:textId="0FB278C5" w:rsidR="00072117" w:rsidRDefault="00072117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Photographs shall be taken prior to the postmortem examination and/or the processing of trace evidence, foreign material, blood patterns, etc.</w:t>
      </w:r>
    </w:p>
    <w:p w14:paraId="766C6B6E" w14:textId="0C23E43C" w:rsidR="009C6FE6" w:rsidRDefault="009C6FE6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Orientation photographs shall be taken when close-up photographs are taken.</w:t>
      </w:r>
    </w:p>
    <w:p w14:paraId="015F2DF6" w14:textId="77E3BA3B" w:rsidR="001A4104" w:rsidRDefault="002C6791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 w:rsidRPr="00705FFA">
        <w:rPr>
          <w:rFonts w:eastAsiaTheme="minorEastAsia"/>
          <w:sz w:val="24"/>
          <w:szCs w:val="24"/>
        </w:rPr>
        <w:t xml:space="preserve">Each photograph </w:t>
      </w:r>
      <w:r w:rsidR="00E1349E">
        <w:rPr>
          <w:rFonts w:eastAsiaTheme="minorEastAsia"/>
          <w:sz w:val="24"/>
          <w:szCs w:val="24"/>
        </w:rPr>
        <w:t>shall</w:t>
      </w:r>
      <w:r w:rsidRPr="00705FFA">
        <w:rPr>
          <w:rFonts w:eastAsiaTheme="minorEastAsia"/>
          <w:sz w:val="24"/>
          <w:szCs w:val="24"/>
        </w:rPr>
        <w:t xml:space="preserve"> include an identification marker contain</w:t>
      </w:r>
      <w:r w:rsidR="00E1349E">
        <w:rPr>
          <w:rFonts w:eastAsiaTheme="minorEastAsia"/>
          <w:sz w:val="24"/>
          <w:szCs w:val="24"/>
        </w:rPr>
        <w:t xml:space="preserve">ing </w:t>
      </w:r>
      <w:r w:rsidRPr="00705FFA">
        <w:rPr>
          <w:rFonts w:eastAsiaTheme="minorEastAsia"/>
          <w:sz w:val="24"/>
          <w:szCs w:val="24"/>
        </w:rPr>
        <w:t xml:space="preserve">the </w:t>
      </w:r>
      <w:r w:rsidR="003B08DA">
        <w:rPr>
          <w:rFonts w:eastAsiaTheme="minorEastAsia"/>
          <w:sz w:val="24"/>
          <w:szCs w:val="24"/>
        </w:rPr>
        <w:t>decedent’s unique</w:t>
      </w:r>
      <w:r w:rsidR="00E1349E">
        <w:rPr>
          <w:rFonts w:eastAsiaTheme="minorEastAsia"/>
          <w:sz w:val="24"/>
          <w:szCs w:val="24"/>
        </w:rPr>
        <w:t xml:space="preserve"> </w:t>
      </w:r>
      <w:r w:rsidRPr="00705FFA">
        <w:rPr>
          <w:rFonts w:eastAsiaTheme="minorEastAsia"/>
          <w:sz w:val="24"/>
          <w:szCs w:val="24"/>
        </w:rPr>
        <w:t xml:space="preserve">case </w:t>
      </w:r>
      <w:r w:rsidR="00E1349E">
        <w:rPr>
          <w:rFonts w:eastAsiaTheme="minorEastAsia"/>
          <w:sz w:val="24"/>
          <w:szCs w:val="24"/>
        </w:rPr>
        <w:t xml:space="preserve">management system </w:t>
      </w:r>
      <w:r w:rsidRPr="00705FFA">
        <w:rPr>
          <w:rFonts w:eastAsiaTheme="minorEastAsia"/>
          <w:sz w:val="24"/>
          <w:szCs w:val="24"/>
        </w:rPr>
        <w:t>numbe</w:t>
      </w:r>
      <w:r w:rsidR="003B08DA">
        <w:rPr>
          <w:rFonts w:eastAsiaTheme="minorEastAsia"/>
          <w:sz w:val="24"/>
          <w:szCs w:val="24"/>
        </w:rPr>
        <w:t>r</w:t>
      </w:r>
      <w:r w:rsidRPr="00705FFA">
        <w:rPr>
          <w:rFonts w:eastAsiaTheme="minorEastAsia"/>
          <w:sz w:val="24"/>
          <w:szCs w:val="24"/>
        </w:rPr>
        <w:t>.</w:t>
      </w:r>
    </w:p>
    <w:p w14:paraId="57EBDDB3" w14:textId="753B50DC" w:rsidR="00687140" w:rsidRPr="00687140" w:rsidRDefault="00837D95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scale</w:t>
      </w:r>
      <w:r w:rsidR="00687140" w:rsidRPr="00705FFA">
        <w:rPr>
          <w:rFonts w:eastAsiaTheme="minorEastAsia"/>
          <w:sz w:val="24"/>
          <w:szCs w:val="24"/>
        </w:rPr>
        <w:t xml:space="preserve"> </w:t>
      </w:r>
      <w:r w:rsidR="003B08DA">
        <w:rPr>
          <w:rFonts w:eastAsiaTheme="minorEastAsia"/>
          <w:sz w:val="24"/>
          <w:szCs w:val="24"/>
        </w:rPr>
        <w:t>shall</w:t>
      </w:r>
      <w:r w:rsidR="00687140" w:rsidRPr="00705FFA">
        <w:rPr>
          <w:rFonts w:eastAsiaTheme="minorEastAsia"/>
          <w:sz w:val="24"/>
          <w:szCs w:val="24"/>
        </w:rPr>
        <w:t xml:space="preserve"> be </w:t>
      </w:r>
      <w:r w:rsidR="00A56C53">
        <w:rPr>
          <w:rFonts w:eastAsiaTheme="minorEastAsia"/>
          <w:sz w:val="24"/>
          <w:szCs w:val="24"/>
        </w:rPr>
        <w:t>included</w:t>
      </w:r>
      <w:r w:rsidR="00687140" w:rsidRPr="00705FFA">
        <w:rPr>
          <w:rFonts w:eastAsiaTheme="minorEastAsia"/>
          <w:sz w:val="24"/>
          <w:szCs w:val="24"/>
        </w:rPr>
        <w:t xml:space="preserve"> </w:t>
      </w:r>
      <w:r w:rsidR="00A56C53">
        <w:rPr>
          <w:rFonts w:eastAsiaTheme="minorEastAsia"/>
          <w:sz w:val="24"/>
          <w:szCs w:val="24"/>
        </w:rPr>
        <w:t>in photographs documenting</w:t>
      </w:r>
      <w:r w:rsidR="00687140" w:rsidRPr="00705FFA">
        <w:rPr>
          <w:rFonts w:eastAsiaTheme="minorEastAsia"/>
          <w:sz w:val="24"/>
          <w:szCs w:val="24"/>
        </w:rPr>
        <w:t xml:space="preserve"> </w:t>
      </w:r>
      <w:r w:rsidR="00A56C53">
        <w:rPr>
          <w:rFonts w:eastAsiaTheme="minorEastAsia"/>
          <w:sz w:val="24"/>
          <w:szCs w:val="24"/>
        </w:rPr>
        <w:t>wound size</w:t>
      </w:r>
      <w:r w:rsidR="00687140" w:rsidRPr="00705FFA">
        <w:rPr>
          <w:rFonts w:eastAsiaTheme="minorEastAsia"/>
          <w:sz w:val="24"/>
          <w:szCs w:val="24"/>
        </w:rPr>
        <w:t>, injur</w:t>
      </w:r>
      <w:r w:rsidR="00A56C53">
        <w:rPr>
          <w:rFonts w:eastAsiaTheme="minorEastAsia"/>
          <w:sz w:val="24"/>
          <w:szCs w:val="24"/>
        </w:rPr>
        <w:t>y</w:t>
      </w:r>
      <w:r w:rsidR="00687140" w:rsidRPr="00705FFA">
        <w:rPr>
          <w:rFonts w:eastAsiaTheme="minorEastAsia"/>
          <w:sz w:val="24"/>
          <w:szCs w:val="24"/>
        </w:rPr>
        <w:t xml:space="preserve">, </w:t>
      </w:r>
      <w:r w:rsidR="00A56C53">
        <w:rPr>
          <w:rFonts w:eastAsiaTheme="minorEastAsia"/>
          <w:sz w:val="24"/>
          <w:szCs w:val="24"/>
        </w:rPr>
        <w:t>and</w:t>
      </w:r>
      <w:r w:rsidR="00687140" w:rsidRPr="00705FFA">
        <w:rPr>
          <w:rFonts w:eastAsiaTheme="minorEastAsia"/>
          <w:sz w:val="24"/>
          <w:szCs w:val="24"/>
        </w:rPr>
        <w:t xml:space="preserve"> pertinent findings, as </w:t>
      </w:r>
      <w:r w:rsidR="00A56C53">
        <w:rPr>
          <w:rFonts w:eastAsiaTheme="minorEastAsia"/>
          <w:sz w:val="24"/>
          <w:szCs w:val="24"/>
        </w:rPr>
        <w:t>necessary</w:t>
      </w:r>
      <w:r w:rsidR="00687140" w:rsidRPr="00705FFA">
        <w:rPr>
          <w:rFonts w:eastAsiaTheme="minorEastAsia"/>
          <w:sz w:val="24"/>
          <w:szCs w:val="24"/>
        </w:rPr>
        <w:t xml:space="preserve">. </w:t>
      </w:r>
    </w:p>
    <w:p w14:paraId="15925AC5" w14:textId="19FB6A50" w:rsidR="002C6791" w:rsidRPr="00705FFA" w:rsidRDefault="00234F8A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</w:t>
      </w:r>
      <w:r w:rsidR="002C6791" w:rsidRPr="00705FFA">
        <w:rPr>
          <w:rFonts w:eastAsiaTheme="minorEastAsia"/>
          <w:sz w:val="24"/>
          <w:szCs w:val="24"/>
        </w:rPr>
        <w:t>hoto</w:t>
      </w:r>
      <w:r>
        <w:rPr>
          <w:rFonts w:eastAsiaTheme="minorEastAsia"/>
          <w:sz w:val="24"/>
          <w:szCs w:val="24"/>
        </w:rPr>
        <w:t>graphs</w:t>
      </w:r>
      <w:r w:rsidR="002C6791" w:rsidRPr="00705FFA">
        <w:rPr>
          <w:rFonts w:eastAsiaTheme="minorEastAsia"/>
          <w:sz w:val="24"/>
          <w:szCs w:val="24"/>
        </w:rPr>
        <w:t xml:space="preserve"> </w:t>
      </w:r>
      <w:r w:rsidR="003B08DA">
        <w:rPr>
          <w:rFonts w:eastAsiaTheme="minorEastAsia"/>
          <w:sz w:val="24"/>
          <w:szCs w:val="24"/>
        </w:rPr>
        <w:t>will</w:t>
      </w:r>
      <w:r w:rsidR="002C6791" w:rsidRPr="00705FFA">
        <w:rPr>
          <w:rFonts w:eastAsiaTheme="minorEastAsia"/>
          <w:sz w:val="24"/>
          <w:szCs w:val="24"/>
        </w:rPr>
        <w:t xml:space="preserve"> be </w:t>
      </w:r>
      <w:r>
        <w:rPr>
          <w:rFonts w:eastAsiaTheme="minorEastAsia"/>
          <w:sz w:val="24"/>
          <w:szCs w:val="24"/>
        </w:rPr>
        <w:t>backed up on</w:t>
      </w:r>
      <w:r w:rsidR="002C6791" w:rsidRPr="00705FFA">
        <w:rPr>
          <w:rFonts w:eastAsiaTheme="minorEastAsia"/>
          <w:sz w:val="24"/>
          <w:szCs w:val="24"/>
        </w:rPr>
        <w:t xml:space="preserve"> an external hard drive </w:t>
      </w:r>
      <w:r w:rsidR="008B428D" w:rsidRPr="00705FFA">
        <w:rPr>
          <w:rFonts w:eastAsiaTheme="minorEastAsia"/>
          <w:sz w:val="24"/>
          <w:szCs w:val="24"/>
        </w:rPr>
        <w:t>and</w:t>
      </w:r>
      <w:r w:rsidR="002C6791" w:rsidRPr="00705FFA">
        <w:rPr>
          <w:rFonts w:eastAsiaTheme="minorEastAsia"/>
          <w:sz w:val="24"/>
          <w:szCs w:val="24"/>
        </w:rPr>
        <w:t xml:space="preserve"> uploaded to the</w:t>
      </w:r>
      <w:r>
        <w:rPr>
          <w:rFonts w:eastAsiaTheme="minorEastAsia"/>
          <w:sz w:val="24"/>
          <w:szCs w:val="24"/>
        </w:rPr>
        <w:t xml:space="preserve"> ACCO</w:t>
      </w:r>
      <w:r w:rsidR="002C6791" w:rsidRPr="00705FFA">
        <w:rPr>
          <w:rFonts w:eastAsiaTheme="minorEastAsia"/>
          <w:sz w:val="24"/>
          <w:szCs w:val="24"/>
        </w:rPr>
        <w:t xml:space="preserve"> case</w:t>
      </w:r>
      <w:r>
        <w:rPr>
          <w:rFonts w:eastAsiaTheme="minorEastAsia"/>
          <w:sz w:val="24"/>
          <w:szCs w:val="24"/>
        </w:rPr>
        <w:t xml:space="preserve"> management system</w:t>
      </w:r>
      <w:r w:rsidR="002C6791" w:rsidRPr="00705FFA">
        <w:rPr>
          <w:rFonts w:eastAsiaTheme="minorEastAsia"/>
          <w:sz w:val="24"/>
          <w:szCs w:val="24"/>
        </w:rPr>
        <w:t>.</w:t>
      </w:r>
    </w:p>
    <w:p w14:paraId="248D9454" w14:textId="03365BE9" w:rsidR="00C0722E" w:rsidRDefault="00C0722E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Photographs taken by attending agencies </w:t>
      </w:r>
      <w:r w:rsidR="003B08DA">
        <w:rPr>
          <w:rFonts w:eastAsiaTheme="minorEastAsia"/>
          <w:sz w:val="24"/>
          <w:szCs w:val="24"/>
        </w:rPr>
        <w:t xml:space="preserve">during the postmortem examination </w:t>
      </w:r>
      <w:r>
        <w:rPr>
          <w:rFonts w:eastAsiaTheme="minorEastAsia"/>
          <w:sz w:val="24"/>
          <w:szCs w:val="24"/>
        </w:rPr>
        <w:t>shall not be permitted</w:t>
      </w:r>
      <w:r w:rsidR="00D17FEA">
        <w:rPr>
          <w:rFonts w:eastAsiaTheme="minorEastAsia"/>
          <w:sz w:val="24"/>
          <w:szCs w:val="24"/>
        </w:rPr>
        <w:t>, without authorization from the forensic pathologist.</w:t>
      </w:r>
    </w:p>
    <w:p w14:paraId="60DF6F09" w14:textId="23BC1B44" w:rsidR="002C6791" w:rsidRPr="008B428D" w:rsidRDefault="002C6791" w:rsidP="00BC6A7C">
      <w:pPr>
        <w:pStyle w:val="ListParagraph"/>
        <w:numPr>
          <w:ilvl w:val="2"/>
          <w:numId w:val="8"/>
        </w:numPr>
        <w:ind w:left="1620"/>
        <w:jc w:val="both"/>
        <w:rPr>
          <w:rFonts w:eastAsiaTheme="minorEastAsia"/>
          <w:sz w:val="24"/>
          <w:szCs w:val="24"/>
        </w:rPr>
      </w:pPr>
      <w:r w:rsidRPr="008B428D">
        <w:rPr>
          <w:rFonts w:eastAsiaTheme="minorEastAsia"/>
          <w:sz w:val="24"/>
          <w:szCs w:val="24"/>
        </w:rPr>
        <w:t xml:space="preserve"> </w:t>
      </w:r>
      <w:r w:rsidR="00DB3441">
        <w:rPr>
          <w:rFonts w:eastAsiaTheme="minorEastAsia"/>
          <w:sz w:val="24"/>
          <w:szCs w:val="24"/>
        </w:rPr>
        <w:t xml:space="preserve">When requested, a </w:t>
      </w:r>
      <w:r w:rsidRPr="008B428D">
        <w:rPr>
          <w:rFonts w:eastAsiaTheme="minorEastAsia"/>
          <w:sz w:val="24"/>
          <w:szCs w:val="24"/>
        </w:rPr>
        <w:t xml:space="preserve">certified copy of photographic documentation </w:t>
      </w:r>
      <w:r w:rsidR="003B08DA">
        <w:rPr>
          <w:rFonts w:eastAsiaTheme="minorEastAsia"/>
          <w:sz w:val="24"/>
          <w:szCs w:val="24"/>
        </w:rPr>
        <w:t xml:space="preserve">shall </w:t>
      </w:r>
      <w:r w:rsidR="00C0722E">
        <w:rPr>
          <w:rFonts w:eastAsiaTheme="minorEastAsia"/>
          <w:sz w:val="24"/>
          <w:szCs w:val="24"/>
        </w:rPr>
        <w:t xml:space="preserve">be made available </w:t>
      </w:r>
      <w:r w:rsidR="00DB3441">
        <w:rPr>
          <w:rFonts w:eastAsiaTheme="minorEastAsia"/>
          <w:sz w:val="24"/>
          <w:szCs w:val="24"/>
        </w:rPr>
        <w:t>to</w:t>
      </w:r>
      <w:r w:rsidR="00C0722E">
        <w:rPr>
          <w:rFonts w:eastAsiaTheme="minorEastAsia"/>
          <w:sz w:val="24"/>
          <w:szCs w:val="24"/>
        </w:rPr>
        <w:t xml:space="preserve"> the investigating law enforcement agency.</w:t>
      </w:r>
    </w:p>
    <w:p w14:paraId="084D5765" w14:textId="4E21AC8C" w:rsidR="00C711A5" w:rsidRPr="00262323" w:rsidRDefault="00C711A5" w:rsidP="00BC6A7C">
      <w:pPr>
        <w:pStyle w:val="ListParagraph"/>
        <w:numPr>
          <w:ilvl w:val="0"/>
          <w:numId w:val="8"/>
        </w:numPr>
        <w:ind w:left="360"/>
        <w:jc w:val="both"/>
        <w:rPr>
          <w:rFonts w:eastAsiaTheme="minorEastAsia"/>
          <w:b/>
          <w:bCs/>
          <w:sz w:val="24"/>
          <w:szCs w:val="24"/>
          <w:highlight w:val="yellow"/>
        </w:rPr>
      </w:pPr>
      <w:r w:rsidRPr="00262323">
        <w:rPr>
          <w:rFonts w:eastAsiaTheme="minorEastAsia"/>
          <w:b/>
          <w:bCs/>
          <w:sz w:val="24"/>
          <w:szCs w:val="24"/>
          <w:highlight w:val="yellow"/>
        </w:rPr>
        <w:t>Chain of Custody</w:t>
      </w:r>
    </w:p>
    <w:p w14:paraId="062D1F7E" w14:textId="15959917" w:rsidR="00C711A5" w:rsidRPr="00262323" w:rsidRDefault="00D17FEA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  <w:highlight w:val="yellow"/>
        </w:rPr>
      </w:pPr>
      <w:r w:rsidRPr="00262323">
        <w:rPr>
          <w:rFonts w:eastAsiaTheme="minorEastAsia"/>
          <w:sz w:val="24"/>
          <w:szCs w:val="24"/>
          <w:highlight w:val="yellow"/>
        </w:rPr>
        <w:t>Forensic Division staff shall i</w:t>
      </w:r>
      <w:r w:rsidR="00C711A5" w:rsidRPr="00262323">
        <w:rPr>
          <w:rFonts w:eastAsiaTheme="minorEastAsia"/>
          <w:sz w:val="24"/>
          <w:szCs w:val="24"/>
          <w:highlight w:val="yellow"/>
        </w:rPr>
        <w:t>dentify, secure, preserve, and document:</w:t>
      </w:r>
    </w:p>
    <w:p w14:paraId="772205B3" w14:textId="31BA4545" w:rsidR="00C711A5" w:rsidRPr="00262323" w:rsidRDefault="00C711A5" w:rsidP="00BC6A7C">
      <w:pPr>
        <w:pStyle w:val="ListParagraph"/>
        <w:numPr>
          <w:ilvl w:val="2"/>
          <w:numId w:val="8"/>
        </w:numPr>
        <w:ind w:left="1620"/>
        <w:jc w:val="both"/>
        <w:rPr>
          <w:rFonts w:eastAsiaTheme="minorEastAsia"/>
          <w:sz w:val="24"/>
          <w:szCs w:val="24"/>
          <w:highlight w:val="yellow"/>
        </w:rPr>
      </w:pPr>
      <w:r w:rsidRPr="00262323">
        <w:rPr>
          <w:rFonts w:eastAsiaTheme="minorEastAsia"/>
          <w:sz w:val="24"/>
          <w:szCs w:val="24"/>
          <w:highlight w:val="yellow"/>
        </w:rPr>
        <w:t>Evidence</w:t>
      </w:r>
      <w:r w:rsidR="00D17FEA" w:rsidRPr="00262323">
        <w:rPr>
          <w:rFonts w:eastAsiaTheme="minorEastAsia"/>
          <w:sz w:val="24"/>
          <w:szCs w:val="24"/>
          <w:highlight w:val="yellow"/>
        </w:rPr>
        <w:t xml:space="preserve">, using </w:t>
      </w:r>
      <w:r w:rsidRPr="00262323">
        <w:rPr>
          <w:rFonts w:eastAsiaTheme="minorEastAsia"/>
          <w:sz w:val="24"/>
          <w:szCs w:val="24"/>
          <w:highlight w:val="yellow"/>
        </w:rPr>
        <w:t>proper containers and labels</w:t>
      </w:r>
    </w:p>
    <w:p w14:paraId="275801AB" w14:textId="22C4B767" w:rsidR="00C711A5" w:rsidRPr="00262323" w:rsidRDefault="00C711A5" w:rsidP="00BC6A7C">
      <w:pPr>
        <w:pStyle w:val="ListParagraph"/>
        <w:numPr>
          <w:ilvl w:val="2"/>
          <w:numId w:val="8"/>
        </w:numPr>
        <w:ind w:left="1620"/>
        <w:jc w:val="both"/>
        <w:rPr>
          <w:rFonts w:eastAsiaTheme="minorEastAsia"/>
          <w:sz w:val="24"/>
          <w:szCs w:val="24"/>
          <w:highlight w:val="yellow"/>
        </w:rPr>
      </w:pPr>
      <w:r w:rsidRPr="00262323">
        <w:rPr>
          <w:rFonts w:eastAsiaTheme="minorEastAsia"/>
          <w:sz w:val="24"/>
          <w:szCs w:val="24"/>
          <w:highlight w:val="yellow"/>
        </w:rPr>
        <w:t>Specimens</w:t>
      </w:r>
      <w:r w:rsidR="00D17FEA" w:rsidRPr="00262323">
        <w:rPr>
          <w:rFonts w:eastAsiaTheme="minorEastAsia"/>
          <w:sz w:val="24"/>
          <w:szCs w:val="24"/>
          <w:highlight w:val="yellow"/>
        </w:rPr>
        <w:t xml:space="preserve">, using </w:t>
      </w:r>
      <w:r w:rsidRPr="00262323">
        <w:rPr>
          <w:rFonts w:eastAsiaTheme="minorEastAsia"/>
          <w:sz w:val="24"/>
          <w:szCs w:val="24"/>
          <w:highlight w:val="yellow"/>
        </w:rPr>
        <w:t>proper containers and labels</w:t>
      </w:r>
    </w:p>
    <w:p w14:paraId="3488C0E9" w14:textId="0E2F98CA" w:rsidR="00C711A5" w:rsidRPr="00262323" w:rsidRDefault="00C711A5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  <w:highlight w:val="yellow"/>
        </w:rPr>
      </w:pPr>
      <w:r w:rsidRPr="00262323">
        <w:rPr>
          <w:rFonts w:eastAsiaTheme="minorEastAsia"/>
          <w:sz w:val="24"/>
          <w:szCs w:val="24"/>
          <w:highlight w:val="yellow"/>
        </w:rPr>
        <w:t>Release</w:t>
      </w:r>
      <w:r w:rsidR="003B1E32" w:rsidRPr="00262323">
        <w:rPr>
          <w:rFonts w:eastAsiaTheme="minorEastAsia"/>
          <w:sz w:val="24"/>
          <w:szCs w:val="24"/>
          <w:highlight w:val="yellow"/>
        </w:rPr>
        <w:t xml:space="preserve"> shall be</w:t>
      </w:r>
      <w:r w:rsidRPr="00262323">
        <w:rPr>
          <w:rFonts w:eastAsiaTheme="minorEastAsia"/>
          <w:sz w:val="24"/>
          <w:szCs w:val="24"/>
          <w:highlight w:val="yellow"/>
        </w:rPr>
        <w:t xml:space="preserve"> in accordance with standard operating procedure.</w:t>
      </w:r>
    </w:p>
    <w:p w14:paraId="48EE2ADA" w14:textId="608C2008" w:rsidR="00B1326B" w:rsidRDefault="00B1326B" w:rsidP="00BC6A7C">
      <w:pPr>
        <w:pStyle w:val="ListParagraph"/>
        <w:numPr>
          <w:ilvl w:val="0"/>
          <w:numId w:val="8"/>
        </w:numPr>
        <w:ind w:left="360"/>
        <w:jc w:val="both"/>
        <w:rPr>
          <w:rFonts w:eastAsiaTheme="minorEastAsia"/>
          <w:b/>
          <w:bCs/>
          <w:sz w:val="24"/>
          <w:szCs w:val="24"/>
        </w:rPr>
      </w:pPr>
      <w:r w:rsidRPr="00B1326B">
        <w:rPr>
          <w:rFonts w:eastAsiaTheme="minorEastAsia"/>
          <w:b/>
          <w:bCs/>
          <w:sz w:val="24"/>
          <w:szCs w:val="24"/>
        </w:rPr>
        <w:t>Specimens</w:t>
      </w:r>
      <w:r w:rsidRPr="00B1326B">
        <w:rPr>
          <w:rFonts w:eastAsiaTheme="minorEastAsia"/>
          <w:b/>
          <w:bCs/>
          <w:sz w:val="24"/>
          <w:szCs w:val="24"/>
        </w:rPr>
        <w:tab/>
      </w:r>
    </w:p>
    <w:p w14:paraId="1C577BFB" w14:textId="48DC8124" w:rsidR="00B1326B" w:rsidRPr="005C1A35" w:rsidRDefault="00571E44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 w:rsidRPr="00CD705F">
        <w:rPr>
          <w:rFonts w:eastAsiaTheme="minorEastAsia"/>
          <w:sz w:val="24"/>
          <w:szCs w:val="24"/>
        </w:rPr>
        <w:t>Specimen c</w:t>
      </w:r>
      <w:r w:rsidR="000E5CC8" w:rsidRPr="00CD705F">
        <w:rPr>
          <w:rFonts w:eastAsiaTheme="minorEastAsia"/>
          <w:sz w:val="24"/>
          <w:szCs w:val="24"/>
        </w:rPr>
        <w:t xml:space="preserve">ollection, storage, and destruction shall </w:t>
      </w:r>
      <w:r w:rsidR="00457D4C" w:rsidRPr="00CD705F">
        <w:rPr>
          <w:rFonts w:eastAsiaTheme="minorEastAsia"/>
          <w:sz w:val="24"/>
          <w:szCs w:val="24"/>
        </w:rPr>
        <w:t>be in accordance with</w:t>
      </w:r>
      <w:r w:rsidR="000E5CC8" w:rsidRPr="00CD705F">
        <w:rPr>
          <w:rFonts w:eastAsiaTheme="minorEastAsia"/>
          <w:sz w:val="24"/>
          <w:szCs w:val="24"/>
        </w:rPr>
        <w:t xml:space="preserve"> ACCO Policy</w:t>
      </w:r>
      <w:r w:rsidR="00626D22" w:rsidRPr="00CD705F">
        <w:rPr>
          <w:rFonts w:eastAsiaTheme="minorEastAsia"/>
          <w:sz w:val="24"/>
          <w:szCs w:val="24"/>
        </w:rPr>
        <w:t xml:space="preserve">: </w:t>
      </w:r>
      <w:r w:rsidR="00626D22" w:rsidRPr="00CD705F">
        <w:rPr>
          <w:rFonts w:eastAsiaTheme="minorEastAsia"/>
          <w:i/>
          <w:iCs/>
          <w:sz w:val="24"/>
          <w:szCs w:val="24"/>
        </w:rPr>
        <w:t>Specimen Collection</w:t>
      </w:r>
      <w:r w:rsidR="004F6E9B">
        <w:rPr>
          <w:rFonts w:eastAsiaTheme="minorEastAsia"/>
          <w:i/>
          <w:iCs/>
          <w:sz w:val="24"/>
          <w:szCs w:val="24"/>
        </w:rPr>
        <w:t xml:space="preserve">, </w:t>
      </w:r>
      <w:r w:rsidR="00626D22" w:rsidRPr="00CD705F">
        <w:rPr>
          <w:rFonts w:eastAsiaTheme="minorEastAsia"/>
          <w:i/>
          <w:iCs/>
          <w:sz w:val="24"/>
          <w:szCs w:val="24"/>
        </w:rPr>
        <w:t>Storage</w:t>
      </w:r>
      <w:r w:rsidR="004F6E9B">
        <w:rPr>
          <w:rFonts w:eastAsiaTheme="minorEastAsia"/>
          <w:i/>
          <w:iCs/>
          <w:sz w:val="24"/>
          <w:szCs w:val="24"/>
        </w:rPr>
        <w:t xml:space="preserve"> and Disposal</w:t>
      </w:r>
      <w:r w:rsidR="00626D22" w:rsidRPr="00CD705F">
        <w:rPr>
          <w:rFonts w:eastAsiaTheme="minorEastAsia"/>
          <w:i/>
          <w:iCs/>
          <w:sz w:val="24"/>
          <w:szCs w:val="24"/>
        </w:rPr>
        <w:t>.</w:t>
      </w:r>
    </w:p>
    <w:p w14:paraId="4904A076" w14:textId="77777777" w:rsidR="005C1A35" w:rsidRDefault="005C1A35" w:rsidP="005C1A35">
      <w:pPr>
        <w:jc w:val="both"/>
        <w:rPr>
          <w:rFonts w:eastAsiaTheme="minorEastAsia"/>
          <w:sz w:val="24"/>
          <w:szCs w:val="24"/>
        </w:rPr>
      </w:pPr>
    </w:p>
    <w:p w14:paraId="30B3D562" w14:textId="77777777" w:rsidR="005C1A35" w:rsidRPr="005C1A35" w:rsidRDefault="005C1A35" w:rsidP="005C1A35">
      <w:pPr>
        <w:jc w:val="both"/>
        <w:rPr>
          <w:rFonts w:eastAsiaTheme="minorEastAsia"/>
          <w:sz w:val="24"/>
          <w:szCs w:val="24"/>
        </w:rPr>
      </w:pPr>
    </w:p>
    <w:p w14:paraId="3174C001" w14:textId="27E20A2C" w:rsidR="00B1326B" w:rsidRPr="00B1326B" w:rsidRDefault="00D520E6" w:rsidP="00BC6A7C">
      <w:pPr>
        <w:pStyle w:val="ListParagraph"/>
        <w:numPr>
          <w:ilvl w:val="0"/>
          <w:numId w:val="8"/>
        </w:numPr>
        <w:ind w:left="180"/>
        <w:jc w:val="both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lastRenderedPageBreak/>
        <w:t>Ancillary Testing</w:t>
      </w:r>
    </w:p>
    <w:p w14:paraId="696C3024" w14:textId="6DA81BE5" w:rsidR="00626D22" w:rsidRDefault="00626D22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 w:rsidRPr="00B1326B">
        <w:rPr>
          <w:rFonts w:eastAsiaTheme="minorEastAsia"/>
          <w:sz w:val="24"/>
          <w:szCs w:val="24"/>
        </w:rPr>
        <w:t xml:space="preserve">The </w:t>
      </w:r>
      <w:r>
        <w:rPr>
          <w:rFonts w:eastAsiaTheme="minorEastAsia"/>
          <w:sz w:val="24"/>
          <w:szCs w:val="24"/>
        </w:rPr>
        <w:t>Forensic D</w:t>
      </w:r>
      <w:r w:rsidRPr="00B1326B">
        <w:rPr>
          <w:rFonts w:eastAsiaTheme="minorEastAsia"/>
          <w:sz w:val="24"/>
          <w:szCs w:val="24"/>
        </w:rPr>
        <w:t xml:space="preserve">ivision </w:t>
      </w:r>
      <w:r>
        <w:rPr>
          <w:rFonts w:eastAsiaTheme="minorEastAsia"/>
          <w:sz w:val="24"/>
          <w:szCs w:val="24"/>
        </w:rPr>
        <w:t>shall</w:t>
      </w:r>
      <w:r w:rsidRPr="00B1326B">
        <w:rPr>
          <w:rFonts w:eastAsiaTheme="minorEastAsia"/>
          <w:sz w:val="24"/>
          <w:szCs w:val="24"/>
        </w:rPr>
        <w:t xml:space="preserve"> </w:t>
      </w:r>
      <w:r w:rsidR="00D520E6">
        <w:rPr>
          <w:rFonts w:eastAsiaTheme="minorEastAsia"/>
          <w:sz w:val="24"/>
          <w:szCs w:val="24"/>
        </w:rPr>
        <w:t xml:space="preserve">periodically </w:t>
      </w:r>
      <w:r w:rsidRPr="00B1326B">
        <w:rPr>
          <w:rFonts w:eastAsiaTheme="minorEastAsia"/>
          <w:sz w:val="24"/>
          <w:szCs w:val="24"/>
        </w:rPr>
        <w:t xml:space="preserve">conduct </w:t>
      </w:r>
      <w:r w:rsidR="00626527">
        <w:rPr>
          <w:rFonts w:eastAsiaTheme="minorEastAsia"/>
          <w:sz w:val="24"/>
          <w:szCs w:val="24"/>
        </w:rPr>
        <w:t xml:space="preserve">and document </w:t>
      </w:r>
      <w:r w:rsidR="003B5E69">
        <w:rPr>
          <w:rFonts w:eastAsiaTheme="minorEastAsia"/>
          <w:sz w:val="24"/>
          <w:szCs w:val="24"/>
        </w:rPr>
        <w:t>ancillary testing</w:t>
      </w:r>
      <w:r w:rsidRPr="00B1326B">
        <w:rPr>
          <w:rFonts w:eastAsiaTheme="minorEastAsia"/>
          <w:sz w:val="24"/>
          <w:szCs w:val="24"/>
        </w:rPr>
        <w:t xml:space="preserve"> review</w:t>
      </w:r>
      <w:r>
        <w:rPr>
          <w:rFonts w:eastAsiaTheme="minorEastAsia"/>
          <w:sz w:val="24"/>
          <w:szCs w:val="24"/>
        </w:rPr>
        <w:t>s</w:t>
      </w:r>
      <w:r w:rsidR="007F2018">
        <w:rPr>
          <w:rFonts w:eastAsiaTheme="minorEastAsia"/>
          <w:sz w:val="24"/>
          <w:szCs w:val="24"/>
        </w:rPr>
        <w:t xml:space="preserve"> with the Pathology Division</w:t>
      </w:r>
      <w:r>
        <w:rPr>
          <w:rFonts w:eastAsiaTheme="minorEastAsia"/>
          <w:sz w:val="24"/>
          <w:szCs w:val="24"/>
        </w:rPr>
        <w:t xml:space="preserve"> </w:t>
      </w:r>
      <w:r w:rsidR="007568EA">
        <w:rPr>
          <w:rFonts w:eastAsiaTheme="minorEastAsia"/>
          <w:sz w:val="24"/>
          <w:szCs w:val="24"/>
        </w:rPr>
        <w:t>regarding</w:t>
      </w:r>
      <w:r w:rsidR="007F2018">
        <w:rPr>
          <w:rFonts w:eastAsiaTheme="minorEastAsia"/>
          <w:sz w:val="24"/>
          <w:szCs w:val="24"/>
        </w:rPr>
        <w:t xml:space="preserve"> </w:t>
      </w:r>
      <w:r w:rsidR="00626527">
        <w:rPr>
          <w:rFonts w:eastAsiaTheme="minorEastAsia"/>
          <w:sz w:val="24"/>
          <w:szCs w:val="24"/>
        </w:rPr>
        <w:t xml:space="preserve">scope of panels, </w:t>
      </w:r>
      <w:r w:rsidR="003B5E69">
        <w:rPr>
          <w:rFonts w:eastAsiaTheme="minorEastAsia"/>
          <w:sz w:val="24"/>
          <w:szCs w:val="24"/>
        </w:rPr>
        <w:t>type and scope of testing</w:t>
      </w:r>
      <w:r w:rsidR="007F2018">
        <w:rPr>
          <w:rFonts w:eastAsiaTheme="minorEastAsia"/>
          <w:sz w:val="24"/>
          <w:szCs w:val="24"/>
        </w:rPr>
        <w:t>, and postmortem examination</w:t>
      </w:r>
      <w:r w:rsidR="007568EA">
        <w:rPr>
          <w:rFonts w:eastAsiaTheme="minorEastAsia"/>
          <w:sz w:val="24"/>
          <w:szCs w:val="24"/>
        </w:rPr>
        <w:t xml:space="preserve"> suitability</w:t>
      </w:r>
      <w:r w:rsidR="00735713">
        <w:rPr>
          <w:rFonts w:eastAsiaTheme="minorEastAsia"/>
          <w:sz w:val="24"/>
          <w:szCs w:val="24"/>
        </w:rPr>
        <w:t>, in accordance with standard operating procedure</w:t>
      </w:r>
      <w:r w:rsidR="007F2018">
        <w:rPr>
          <w:rFonts w:eastAsiaTheme="minorEastAsia"/>
          <w:sz w:val="24"/>
          <w:szCs w:val="24"/>
        </w:rPr>
        <w:t>.</w:t>
      </w:r>
      <w:r w:rsidRPr="00B1326B">
        <w:rPr>
          <w:rFonts w:eastAsiaTheme="minorEastAsia"/>
          <w:sz w:val="24"/>
          <w:szCs w:val="24"/>
        </w:rPr>
        <w:t xml:space="preserve"> </w:t>
      </w:r>
    </w:p>
    <w:p w14:paraId="2E6560A5" w14:textId="0C12B9E8" w:rsidR="00942646" w:rsidRDefault="00705FFA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 w:rsidRPr="00B1326B">
        <w:rPr>
          <w:rFonts w:eastAsiaTheme="minorEastAsia"/>
          <w:sz w:val="24"/>
          <w:szCs w:val="24"/>
        </w:rPr>
        <w:t xml:space="preserve">The </w:t>
      </w:r>
      <w:r w:rsidR="00942646">
        <w:rPr>
          <w:rFonts w:eastAsiaTheme="minorEastAsia"/>
          <w:sz w:val="24"/>
          <w:szCs w:val="24"/>
        </w:rPr>
        <w:t xml:space="preserve">forensic </w:t>
      </w:r>
      <w:r w:rsidRPr="00B1326B">
        <w:rPr>
          <w:rFonts w:eastAsiaTheme="minorEastAsia"/>
          <w:sz w:val="24"/>
          <w:szCs w:val="24"/>
        </w:rPr>
        <w:t xml:space="preserve">pathologist </w:t>
      </w:r>
      <w:r w:rsidR="00942646">
        <w:rPr>
          <w:rFonts w:eastAsiaTheme="minorEastAsia"/>
          <w:sz w:val="24"/>
          <w:szCs w:val="24"/>
        </w:rPr>
        <w:t>shall</w:t>
      </w:r>
      <w:r w:rsidRPr="00B1326B">
        <w:rPr>
          <w:rFonts w:eastAsiaTheme="minorEastAsia"/>
          <w:sz w:val="24"/>
          <w:szCs w:val="24"/>
        </w:rPr>
        <w:t xml:space="preserve"> </w:t>
      </w:r>
      <w:r w:rsidR="000149C4">
        <w:rPr>
          <w:rFonts w:eastAsiaTheme="minorEastAsia"/>
          <w:sz w:val="24"/>
          <w:szCs w:val="24"/>
        </w:rPr>
        <w:t>determine the</w:t>
      </w:r>
      <w:r w:rsidR="00457D4C">
        <w:rPr>
          <w:rFonts w:eastAsiaTheme="minorEastAsia"/>
          <w:sz w:val="24"/>
          <w:szCs w:val="24"/>
        </w:rPr>
        <w:t xml:space="preserve"> level and type of </w:t>
      </w:r>
      <w:r w:rsidR="003B5E69">
        <w:rPr>
          <w:rFonts w:eastAsiaTheme="minorEastAsia"/>
          <w:sz w:val="24"/>
          <w:szCs w:val="24"/>
        </w:rPr>
        <w:t>ancillary</w:t>
      </w:r>
      <w:r w:rsidR="000149C4">
        <w:rPr>
          <w:rFonts w:eastAsiaTheme="minorEastAsia"/>
          <w:sz w:val="24"/>
          <w:szCs w:val="24"/>
        </w:rPr>
        <w:t xml:space="preserve"> testing </w:t>
      </w:r>
      <w:r w:rsidR="00457D4C">
        <w:rPr>
          <w:rFonts w:eastAsiaTheme="minorEastAsia"/>
          <w:sz w:val="24"/>
          <w:szCs w:val="24"/>
        </w:rPr>
        <w:t xml:space="preserve">to be ordered </w:t>
      </w:r>
      <w:r w:rsidR="000149C4">
        <w:rPr>
          <w:rFonts w:eastAsiaTheme="minorEastAsia"/>
          <w:sz w:val="24"/>
          <w:szCs w:val="24"/>
        </w:rPr>
        <w:t xml:space="preserve">and </w:t>
      </w:r>
      <w:r w:rsidR="00457D4C">
        <w:rPr>
          <w:rFonts w:eastAsiaTheme="minorEastAsia"/>
          <w:sz w:val="24"/>
          <w:szCs w:val="24"/>
        </w:rPr>
        <w:t xml:space="preserve">the </w:t>
      </w:r>
      <w:r w:rsidR="000149C4">
        <w:rPr>
          <w:rFonts w:eastAsiaTheme="minorEastAsia"/>
          <w:sz w:val="24"/>
          <w:szCs w:val="24"/>
        </w:rPr>
        <w:t>specimen</w:t>
      </w:r>
      <w:r w:rsidR="00457D4C">
        <w:rPr>
          <w:rFonts w:eastAsiaTheme="minorEastAsia"/>
          <w:sz w:val="24"/>
          <w:szCs w:val="24"/>
        </w:rPr>
        <w:t xml:space="preserve"> to be </w:t>
      </w:r>
      <w:r w:rsidR="003B5E69">
        <w:rPr>
          <w:rFonts w:eastAsiaTheme="minorEastAsia"/>
          <w:sz w:val="24"/>
          <w:szCs w:val="24"/>
        </w:rPr>
        <w:t>utilized/</w:t>
      </w:r>
      <w:r w:rsidR="00457D4C">
        <w:rPr>
          <w:rFonts w:eastAsiaTheme="minorEastAsia"/>
          <w:sz w:val="24"/>
          <w:szCs w:val="24"/>
        </w:rPr>
        <w:t>tested</w:t>
      </w:r>
      <w:r w:rsidR="00942646">
        <w:rPr>
          <w:rFonts w:eastAsiaTheme="minorEastAsia"/>
          <w:sz w:val="24"/>
          <w:szCs w:val="24"/>
        </w:rPr>
        <w:t>, if any, for each postmortem examination.</w:t>
      </w:r>
    </w:p>
    <w:p w14:paraId="5CCEDD05" w14:textId="6AAED3AE" w:rsidR="00B1326B" w:rsidRDefault="00457D4C" w:rsidP="00BC6A7C">
      <w:pPr>
        <w:pStyle w:val="ListParagraph"/>
        <w:numPr>
          <w:ilvl w:val="1"/>
          <w:numId w:val="8"/>
        </w:numPr>
        <w:ind w:left="9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F</w:t>
      </w:r>
      <w:r w:rsidR="00705FFA" w:rsidRPr="00B1326B">
        <w:rPr>
          <w:rFonts w:eastAsiaTheme="minorEastAsia"/>
          <w:sz w:val="24"/>
          <w:szCs w:val="24"/>
        </w:rPr>
        <w:t xml:space="preserve">orensic </w:t>
      </w:r>
      <w:r w:rsidR="00E17E71">
        <w:rPr>
          <w:rFonts w:eastAsiaTheme="minorEastAsia"/>
          <w:sz w:val="24"/>
          <w:szCs w:val="24"/>
        </w:rPr>
        <w:t>Division</w:t>
      </w:r>
      <w:r w:rsidR="00705FFA" w:rsidRPr="00B1326B">
        <w:rPr>
          <w:rFonts w:eastAsiaTheme="minorEastAsia"/>
          <w:sz w:val="24"/>
          <w:szCs w:val="24"/>
        </w:rPr>
        <w:t xml:space="preserve"> will </w:t>
      </w:r>
      <w:r w:rsidR="00E17E71" w:rsidRPr="00B1326B">
        <w:rPr>
          <w:rFonts w:eastAsiaTheme="minorEastAsia"/>
          <w:sz w:val="24"/>
          <w:szCs w:val="24"/>
        </w:rPr>
        <w:t>prepare,</w:t>
      </w:r>
      <w:r w:rsidR="00705FFA" w:rsidRPr="00B1326B">
        <w:rPr>
          <w:rFonts w:eastAsiaTheme="minorEastAsia"/>
          <w:sz w:val="24"/>
          <w:szCs w:val="24"/>
        </w:rPr>
        <w:t xml:space="preserve"> </w:t>
      </w:r>
      <w:r w:rsidR="000149C4">
        <w:rPr>
          <w:rFonts w:eastAsiaTheme="minorEastAsia"/>
          <w:sz w:val="24"/>
          <w:szCs w:val="24"/>
        </w:rPr>
        <w:t xml:space="preserve">notate in the ACCO case </w:t>
      </w:r>
      <w:r w:rsidR="004F6E9B">
        <w:rPr>
          <w:rFonts w:eastAsiaTheme="minorEastAsia"/>
          <w:sz w:val="24"/>
          <w:szCs w:val="24"/>
        </w:rPr>
        <w:t>management</w:t>
      </w:r>
      <w:r w:rsidR="000149C4">
        <w:rPr>
          <w:rFonts w:eastAsiaTheme="minorEastAsia"/>
          <w:sz w:val="24"/>
          <w:szCs w:val="24"/>
        </w:rPr>
        <w:t xml:space="preserve"> </w:t>
      </w:r>
      <w:r w:rsidR="004F6E9B">
        <w:rPr>
          <w:rFonts w:eastAsiaTheme="minorEastAsia"/>
          <w:sz w:val="24"/>
          <w:szCs w:val="24"/>
        </w:rPr>
        <w:t>system</w:t>
      </w:r>
      <w:r w:rsidR="000149C4">
        <w:rPr>
          <w:rFonts w:eastAsiaTheme="minorEastAsia"/>
          <w:sz w:val="24"/>
          <w:szCs w:val="24"/>
        </w:rPr>
        <w:t xml:space="preserve">, </w:t>
      </w:r>
      <w:r w:rsidR="00705FFA" w:rsidRPr="00B1326B">
        <w:rPr>
          <w:rFonts w:eastAsiaTheme="minorEastAsia"/>
          <w:sz w:val="24"/>
          <w:szCs w:val="24"/>
        </w:rPr>
        <w:t xml:space="preserve">and ship </w:t>
      </w:r>
      <w:r w:rsidR="00E17E71">
        <w:rPr>
          <w:rFonts w:eastAsiaTheme="minorEastAsia"/>
          <w:sz w:val="24"/>
          <w:szCs w:val="24"/>
        </w:rPr>
        <w:t>designated</w:t>
      </w:r>
      <w:r w:rsidR="00705FFA" w:rsidRPr="00B1326B">
        <w:rPr>
          <w:rFonts w:eastAsiaTheme="minorEastAsia"/>
          <w:sz w:val="24"/>
          <w:szCs w:val="24"/>
        </w:rPr>
        <w:t xml:space="preserve"> specimens for testing following </w:t>
      </w:r>
      <w:r>
        <w:rPr>
          <w:rFonts w:eastAsiaTheme="minorEastAsia"/>
          <w:sz w:val="24"/>
          <w:szCs w:val="24"/>
        </w:rPr>
        <w:t>the f</w:t>
      </w:r>
      <w:r w:rsidR="00705FFA" w:rsidRPr="00B1326B">
        <w:rPr>
          <w:rFonts w:eastAsiaTheme="minorEastAsia"/>
          <w:sz w:val="24"/>
          <w:szCs w:val="24"/>
        </w:rPr>
        <w:t xml:space="preserve">orensic </w:t>
      </w:r>
      <w:r>
        <w:rPr>
          <w:rFonts w:eastAsiaTheme="minorEastAsia"/>
          <w:sz w:val="24"/>
          <w:szCs w:val="24"/>
        </w:rPr>
        <w:t>l</w:t>
      </w:r>
      <w:r w:rsidR="00705FFA" w:rsidRPr="00B1326B">
        <w:rPr>
          <w:rFonts w:eastAsiaTheme="minorEastAsia"/>
          <w:sz w:val="24"/>
          <w:szCs w:val="24"/>
        </w:rPr>
        <w:t>aboratory</w:t>
      </w:r>
      <w:r w:rsidR="00E17E71">
        <w:rPr>
          <w:rFonts w:eastAsiaTheme="minorEastAsia"/>
          <w:sz w:val="24"/>
          <w:szCs w:val="24"/>
        </w:rPr>
        <w:t xml:space="preserve"> guidelines</w:t>
      </w:r>
      <w:r w:rsidR="003B5E69">
        <w:rPr>
          <w:rFonts w:eastAsiaTheme="minorEastAsia"/>
          <w:sz w:val="24"/>
          <w:szCs w:val="24"/>
        </w:rPr>
        <w:t>, and in accordance with ACCO standard operating procedure</w:t>
      </w:r>
      <w:r w:rsidR="00705FFA" w:rsidRPr="00B1326B">
        <w:rPr>
          <w:rFonts w:eastAsiaTheme="minorEastAsia"/>
          <w:sz w:val="24"/>
          <w:szCs w:val="24"/>
        </w:rPr>
        <w:t>.</w:t>
      </w:r>
    </w:p>
    <w:p w14:paraId="5E2D76EA" w14:textId="77777777" w:rsidR="00A77AFC" w:rsidRPr="00CF6359" w:rsidRDefault="00A77AFC" w:rsidP="00BC6A7C">
      <w:pPr>
        <w:pStyle w:val="ListParagraph"/>
        <w:numPr>
          <w:ilvl w:val="0"/>
          <w:numId w:val="8"/>
        </w:numPr>
        <w:spacing w:before="161" w:line="276" w:lineRule="auto"/>
        <w:ind w:left="36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F6359">
        <w:rPr>
          <w:rFonts w:eastAsia="Times New Roman" w:cstheme="minorHAnsi"/>
          <w:b/>
          <w:bCs/>
          <w:color w:val="000000"/>
          <w:sz w:val="24"/>
          <w:szCs w:val="24"/>
        </w:rPr>
        <w:t xml:space="preserve">Evidence </w:t>
      </w:r>
    </w:p>
    <w:p w14:paraId="1137D909" w14:textId="77777777" w:rsidR="00A77AFC" w:rsidRPr="00CD705F" w:rsidRDefault="00A77AFC" w:rsidP="0047553F">
      <w:pPr>
        <w:pStyle w:val="ListParagraph"/>
        <w:numPr>
          <w:ilvl w:val="0"/>
          <w:numId w:val="2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CD705F">
        <w:rPr>
          <w:rFonts w:eastAsia="Times New Roman" w:cstheme="minorHAnsi"/>
          <w:sz w:val="24"/>
          <w:szCs w:val="24"/>
        </w:rPr>
        <w:t xml:space="preserve">Evidence collection, storage, and destruction shall be in accordance with ACCO Policy: </w:t>
      </w:r>
      <w:r w:rsidRPr="00CD705F">
        <w:rPr>
          <w:rFonts w:eastAsia="Times New Roman" w:cstheme="minorHAnsi"/>
          <w:i/>
          <w:iCs/>
          <w:sz w:val="24"/>
          <w:szCs w:val="24"/>
        </w:rPr>
        <w:t>Evidence Collection and Storage.</w:t>
      </w:r>
    </w:p>
    <w:p w14:paraId="26BDD2EB" w14:textId="06B57771" w:rsidR="00A77AFC" w:rsidRDefault="00A77AFC" w:rsidP="00BC6A7C">
      <w:pPr>
        <w:pStyle w:val="ListParagraph"/>
        <w:numPr>
          <w:ilvl w:val="0"/>
          <w:numId w:val="8"/>
        </w:numPr>
        <w:spacing w:before="161" w:line="276" w:lineRule="auto"/>
        <w:ind w:left="36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Radiology</w:t>
      </w:r>
    </w:p>
    <w:p w14:paraId="7AB3EC49" w14:textId="0BAA4FE7" w:rsidR="00A77AFC" w:rsidRDefault="00A77AFC" w:rsidP="00BC6A7C">
      <w:pPr>
        <w:pStyle w:val="ListParagraph"/>
        <w:numPr>
          <w:ilvl w:val="1"/>
          <w:numId w:val="8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A77AFC">
        <w:rPr>
          <w:rFonts w:eastAsia="Times New Roman" w:cstheme="minorHAnsi"/>
          <w:sz w:val="24"/>
          <w:szCs w:val="24"/>
        </w:rPr>
        <w:t xml:space="preserve">Radiographs shall be taken on </w:t>
      </w:r>
      <w:r w:rsidR="00D80505">
        <w:rPr>
          <w:rFonts w:eastAsia="Times New Roman" w:cstheme="minorHAnsi"/>
          <w:sz w:val="24"/>
          <w:szCs w:val="24"/>
        </w:rPr>
        <w:t xml:space="preserve">those </w:t>
      </w:r>
      <w:r w:rsidRPr="00A77AFC">
        <w:rPr>
          <w:rFonts w:eastAsia="Times New Roman" w:cstheme="minorHAnsi"/>
          <w:sz w:val="24"/>
          <w:szCs w:val="24"/>
        </w:rPr>
        <w:t xml:space="preserve">cases </w:t>
      </w:r>
      <w:r w:rsidR="001363D6">
        <w:rPr>
          <w:rFonts w:eastAsia="Times New Roman" w:cstheme="minorHAnsi"/>
          <w:sz w:val="24"/>
          <w:szCs w:val="24"/>
        </w:rPr>
        <w:t>outlined in CAP standards, Forensic Autopsy Performance Standards</w:t>
      </w:r>
      <w:r w:rsidRPr="00A77AFC">
        <w:rPr>
          <w:rFonts w:eastAsia="Times New Roman" w:cstheme="minorHAnsi"/>
          <w:sz w:val="24"/>
          <w:szCs w:val="24"/>
        </w:rPr>
        <w:t xml:space="preserve">, </w:t>
      </w:r>
      <w:r w:rsidR="00D80505">
        <w:rPr>
          <w:rFonts w:eastAsia="Times New Roman" w:cstheme="minorHAnsi"/>
          <w:sz w:val="24"/>
          <w:szCs w:val="24"/>
        </w:rPr>
        <w:t xml:space="preserve">ACCO standard operating procedure, </w:t>
      </w:r>
      <w:r w:rsidRPr="00A77AFC">
        <w:rPr>
          <w:rFonts w:eastAsia="Times New Roman" w:cstheme="minorHAnsi"/>
          <w:sz w:val="24"/>
          <w:szCs w:val="24"/>
        </w:rPr>
        <w:t xml:space="preserve">and as requested by the forensic pathologist. </w:t>
      </w:r>
    </w:p>
    <w:p w14:paraId="22D6D117" w14:textId="1E7CB833" w:rsidR="00BB24FC" w:rsidRPr="002850D5" w:rsidRDefault="00BB24FC" w:rsidP="00BC6A7C">
      <w:pPr>
        <w:pStyle w:val="ListParagraph"/>
        <w:numPr>
          <w:ilvl w:val="1"/>
          <w:numId w:val="8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2850D5">
        <w:rPr>
          <w:rFonts w:eastAsia="Times New Roman" w:cstheme="minorHAnsi"/>
          <w:sz w:val="24"/>
          <w:szCs w:val="24"/>
        </w:rPr>
        <w:t xml:space="preserve">Radiographs taken for identification purposes shall be in accordance with ACCO Policy: </w:t>
      </w:r>
      <w:r w:rsidRPr="002850D5">
        <w:rPr>
          <w:rFonts w:eastAsia="Times New Roman" w:cstheme="minorHAnsi"/>
          <w:i/>
          <w:iCs/>
          <w:sz w:val="24"/>
          <w:szCs w:val="24"/>
        </w:rPr>
        <w:t>Identification</w:t>
      </w:r>
      <w:r w:rsidRPr="002850D5">
        <w:rPr>
          <w:rFonts w:eastAsia="Times New Roman" w:cstheme="minorHAnsi"/>
          <w:sz w:val="24"/>
          <w:szCs w:val="24"/>
        </w:rPr>
        <w:t>.</w:t>
      </w:r>
    </w:p>
    <w:p w14:paraId="31B331F4" w14:textId="51B543C5" w:rsidR="00BB24FC" w:rsidRDefault="00BB24FC" w:rsidP="00BC6A7C">
      <w:pPr>
        <w:pStyle w:val="ListParagraph"/>
        <w:numPr>
          <w:ilvl w:val="1"/>
          <w:numId w:val="8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Each radiograph shall include an identification marker indicating anatomical position.</w:t>
      </w:r>
    </w:p>
    <w:p w14:paraId="31F5BF79" w14:textId="2BC8C558" w:rsidR="00BB24FC" w:rsidRDefault="00BB24FC" w:rsidP="00BC6A7C">
      <w:pPr>
        <w:pStyle w:val="ListParagraph"/>
        <w:numPr>
          <w:ilvl w:val="1"/>
          <w:numId w:val="8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Radiographs shall be </w:t>
      </w:r>
      <w:r w:rsidR="004F6E9B">
        <w:rPr>
          <w:rFonts w:eastAsia="Times New Roman" w:cstheme="minorHAnsi"/>
          <w:sz w:val="24"/>
          <w:szCs w:val="24"/>
        </w:rPr>
        <w:t>obtained</w:t>
      </w:r>
      <w:r>
        <w:rPr>
          <w:rFonts w:eastAsia="Times New Roman" w:cstheme="minorHAnsi"/>
          <w:sz w:val="24"/>
          <w:szCs w:val="24"/>
        </w:rPr>
        <w:t>, uploaded to the ACCO case management system</w:t>
      </w:r>
      <w:r w:rsidR="008361BD">
        <w:rPr>
          <w:rFonts w:eastAsia="Times New Roman" w:cstheme="minorHAnsi"/>
          <w:sz w:val="24"/>
          <w:szCs w:val="24"/>
        </w:rPr>
        <w:t>, and retained</w:t>
      </w:r>
      <w:r w:rsidR="00DE7F0F">
        <w:rPr>
          <w:rFonts w:eastAsia="Times New Roman" w:cstheme="minorHAnsi"/>
          <w:sz w:val="24"/>
          <w:szCs w:val="24"/>
        </w:rPr>
        <w:t xml:space="preserve"> on an external hard drive</w:t>
      </w:r>
      <w:r>
        <w:rPr>
          <w:rFonts w:eastAsia="Times New Roman" w:cstheme="minorHAnsi"/>
          <w:sz w:val="24"/>
          <w:szCs w:val="24"/>
        </w:rPr>
        <w:t>.</w:t>
      </w:r>
    </w:p>
    <w:p w14:paraId="735BADB9" w14:textId="591E17A3" w:rsidR="00BB24FC" w:rsidRDefault="00BB24FC" w:rsidP="00BC6A7C">
      <w:pPr>
        <w:pStyle w:val="ListParagraph"/>
        <w:numPr>
          <w:ilvl w:val="1"/>
          <w:numId w:val="8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Procedures shall be monitored by the Forensic Supervisor, </w:t>
      </w:r>
      <w:r w:rsidR="00DE7F0F">
        <w:rPr>
          <w:rFonts w:eastAsia="Times New Roman" w:cstheme="minorHAnsi"/>
          <w:sz w:val="24"/>
          <w:szCs w:val="24"/>
        </w:rPr>
        <w:t>and Radiation Safety Officer</w:t>
      </w:r>
      <w:r>
        <w:rPr>
          <w:rFonts w:eastAsia="Times New Roman" w:cstheme="minorHAnsi"/>
          <w:sz w:val="24"/>
          <w:szCs w:val="24"/>
        </w:rPr>
        <w:t>.</w:t>
      </w:r>
    </w:p>
    <w:p w14:paraId="727DA69F" w14:textId="000425AA" w:rsidR="00DE7F0F" w:rsidRDefault="00DE7F0F" w:rsidP="00BC6A7C">
      <w:pPr>
        <w:pStyle w:val="ListParagraph"/>
        <w:numPr>
          <w:ilvl w:val="2"/>
          <w:numId w:val="8"/>
        </w:numPr>
        <w:spacing w:before="161" w:line="276" w:lineRule="auto"/>
        <w:ind w:left="162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Reference ACCO Policy: </w:t>
      </w:r>
      <w:r w:rsidRPr="00DE7F0F">
        <w:rPr>
          <w:rFonts w:eastAsia="Times New Roman" w:cstheme="minorHAnsi"/>
          <w:i/>
          <w:iCs/>
          <w:sz w:val="24"/>
          <w:szCs w:val="24"/>
        </w:rPr>
        <w:t>Employee Safety.</w:t>
      </w:r>
    </w:p>
    <w:p w14:paraId="6E777282" w14:textId="0608653F" w:rsidR="00BB24FC" w:rsidRPr="00A77AFC" w:rsidRDefault="00BB24FC" w:rsidP="00BC6A7C">
      <w:pPr>
        <w:pStyle w:val="ListParagraph"/>
        <w:numPr>
          <w:ilvl w:val="1"/>
          <w:numId w:val="8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Diagnostic quality shall be reviewed by the forensic pathologist.</w:t>
      </w:r>
    </w:p>
    <w:p w14:paraId="255903A0" w14:textId="77777777" w:rsidR="00A77AFC" w:rsidRPr="00A77AFC" w:rsidRDefault="00A77AFC" w:rsidP="0047553F">
      <w:pPr>
        <w:spacing w:before="161" w:line="276" w:lineRule="auto"/>
        <w:ind w:left="540" w:right="144"/>
        <w:jc w:val="both"/>
        <w:textAlignment w:val="baseline"/>
        <w:rPr>
          <w:rFonts w:eastAsia="Times New Roman" w:cstheme="minorHAnsi"/>
          <w:sz w:val="24"/>
          <w:szCs w:val="24"/>
        </w:rPr>
      </w:pPr>
    </w:p>
    <w:sectPr w:rsidR="00A77AFC" w:rsidRPr="00A77AFC" w:rsidSect="00F32A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04FC" w14:textId="77777777" w:rsidR="001D691F" w:rsidRDefault="001D691F" w:rsidP="00F32A59">
      <w:pPr>
        <w:spacing w:after="0" w:line="240" w:lineRule="auto"/>
      </w:pPr>
      <w:r>
        <w:separator/>
      </w:r>
    </w:p>
  </w:endnote>
  <w:endnote w:type="continuationSeparator" w:id="0">
    <w:p w14:paraId="0F00B06E" w14:textId="77777777" w:rsidR="001D691F" w:rsidRDefault="001D691F" w:rsidP="00F32A59">
      <w:pPr>
        <w:spacing w:after="0" w:line="240" w:lineRule="auto"/>
      </w:pPr>
      <w:r>
        <w:continuationSeparator/>
      </w:r>
    </w:p>
  </w:endnote>
  <w:endnote w:type="continuationNotice" w:id="1">
    <w:p w14:paraId="42844C3D" w14:textId="77777777" w:rsidR="00DD7FB2" w:rsidRDefault="00DD7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9D5ED" w14:textId="77777777" w:rsidR="00F32A59" w:rsidRDefault="00F32A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BB34" w14:textId="2A945D80" w:rsidR="00F32A59" w:rsidRPr="00F32A59" w:rsidRDefault="00F32A59" w:rsidP="00F32A59">
    <w:pPr>
      <w:pStyle w:val="Footer"/>
      <w:jc w:val="right"/>
      <w:rPr>
        <w:sz w:val="16"/>
        <w:szCs w:val="16"/>
      </w:rPr>
    </w:pPr>
    <w:r w:rsidRPr="00F32A59">
      <w:rPr>
        <w:sz w:val="16"/>
        <w:szCs w:val="16"/>
      </w:rPr>
      <w:fldChar w:fldCharType="begin"/>
    </w:r>
    <w:r w:rsidRPr="00F32A59">
      <w:rPr>
        <w:sz w:val="16"/>
        <w:szCs w:val="16"/>
      </w:rPr>
      <w:instrText xml:space="preserve"> FILENAME  \* Caps  \* MERGEFORMAT </w:instrText>
    </w:r>
    <w:r w:rsidRPr="00F32A59">
      <w:rPr>
        <w:sz w:val="16"/>
        <w:szCs w:val="16"/>
      </w:rPr>
      <w:fldChar w:fldCharType="separate"/>
    </w:r>
    <w:r w:rsidRPr="00F32A59">
      <w:rPr>
        <w:noProof/>
        <w:sz w:val="16"/>
        <w:szCs w:val="16"/>
      </w:rPr>
      <w:t>Postmortem Examination</w:t>
    </w:r>
    <w:r w:rsidRPr="00F32A59">
      <w:rPr>
        <w:sz w:val="16"/>
        <w:szCs w:val="16"/>
      </w:rPr>
      <w:fldChar w:fldCharType="end"/>
    </w:r>
    <w:r w:rsidRPr="00F32A59">
      <w:rPr>
        <w:sz w:val="16"/>
        <w:szCs w:val="16"/>
      </w:rPr>
      <w:t xml:space="preserve"> Page </w:t>
    </w:r>
    <w:r w:rsidRPr="00F32A59">
      <w:rPr>
        <w:sz w:val="16"/>
        <w:szCs w:val="16"/>
      </w:rPr>
      <w:fldChar w:fldCharType="begin"/>
    </w:r>
    <w:r w:rsidRPr="00F32A59">
      <w:rPr>
        <w:sz w:val="16"/>
        <w:szCs w:val="16"/>
      </w:rPr>
      <w:instrText xml:space="preserve"> PAGE  \* Arabic  \* MERGEFORMAT </w:instrText>
    </w:r>
    <w:r w:rsidRPr="00F32A59">
      <w:rPr>
        <w:sz w:val="16"/>
        <w:szCs w:val="16"/>
      </w:rPr>
      <w:fldChar w:fldCharType="separate"/>
    </w:r>
    <w:r w:rsidRPr="00F32A59">
      <w:rPr>
        <w:noProof/>
        <w:sz w:val="16"/>
        <w:szCs w:val="16"/>
      </w:rPr>
      <w:t>1</w:t>
    </w:r>
    <w:r w:rsidRPr="00F32A59">
      <w:rPr>
        <w:sz w:val="16"/>
        <w:szCs w:val="16"/>
      </w:rPr>
      <w:fldChar w:fldCharType="end"/>
    </w:r>
    <w:r w:rsidRPr="00F32A59">
      <w:rPr>
        <w:sz w:val="16"/>
        <w:szCs w:val="16"/>
      </w:rPr>
      <w:t xml:space="preserve"> of </w:t>
    </w:r>
    <w:r w:rsidRPr="00F32A59">
      <w:rPr>
        <w:sz w:val="16"/>
        <w:szCs w:val="16"/>
      </w:rPr>
      <w:fldChar w:fldCharType="begin"/>
    </w:r>
    <w:r w:rsidRPr="00F32A59">
      <w:rPr>
        <w:sz w:val="16"/>
        <w:szCs w:val="16"/>
      </w:rPr>
      <w:instrText xml:space="preserve"> NUMPAGES  \* Arabic  \* MERGEFORMAT </w:instrText>
    </w:r>
    <w:r w:rsidRPr="00F32A59">
      <w:rPr>
        <w:sz w:val="16"/>
        <w:szCs w:val="16"/>
      </w:rPr>
      <w:fldChar w:fldCharType="separate"/>
    </w:r>
    <w:r w:rsidRPr="00F32A59">
      <w:rPr>
        <w:noProof/>
        <w:sz w:val="16"/>
        <w:szCs w:val="16"/>
      </w:rPr>
      <w:t>2</w:t>
    </w:r>
    <w:r w:rsidRPr="00F32A59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CB2F8" w14:textId="77777777" w:rsidR="00F32A59" w:rsidRDefault="00F32A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87CE6" w14:textId="77777777" w:rsidR="001D691F" w:rsidRDefault="001D691F" w:rsidP="00F32A59">
      <w:pPr>
        <w:spacing w:after="0" w:line="240" w:lineRule="auto"/>
      </w:pPr>
      <w:r>
        <w:separator/>
      </w:r>
    </w:p>
  </w:footnote>
  <w:footnote w:type="continuationSeparator" w:id="0">
    <w:p w14:paraId="5217DA38" w14:textId="77777777" w:rsidR="001D691F" w:rsidRDefault="001D691F" w:rsidP="00F32A59">
      <w:pPr>
        <w:spacing w:after="0" w:line="240" w:lineRule="auto"/>
      </w:pPr>
      <w:r>
        <w:continuationSeparator/>
      </w:r>
    </w:p>
  </w:footnote>
  <w:footnote w:type="continuationNotice" w:id="1">
    <w:p w14:paraId="66ED3CA4" w14:textId="77777777" w:rsidR="00DD7FB2" w:rsidRDefault="00DD7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EB0A" w14:textId="77777777" w:rsidR="00F32A59" w:rsidRDefault="00F32A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27EF" w14:textId="77777777" w:rsidR="00F32A59" w:rsidRDefault="00F32A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C151C" w14:textId="77777777" w:rsidR="00F32A59" w:rsidRDefault="00F32A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3565"/>
    <w:multiLevelType w:val="hybridMultilevel"/>
    <w:tmpl w:val="E940D8BA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9E45638"/>
    <w:multiLevelType w:val="hybridMultilevel"/>
    <w:tmpl w:val="047AF5A0"/>
    <w:lvl w:ilvl="0" w:tplc="B5AE6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2E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344F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40F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A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523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864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450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9CDC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506B9"/>
    <w:multiLevelType w:val="hybridMultilevel"/>
    <w:tmpl w:val="6524B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10C50"/>
    <w:multiLevelType w:val="hybridMultilevel"/>
    <w:tmpl w:val="2822EAD4"/>
    <w:lvl w:ilvl="0" w:tplc="83723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6CE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F66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724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5C9C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602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226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30F5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F68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85D84"/>
    <w:multiLevelType w:val="hybridMultilevel"/>
    <w:tmpl w:val="3110AFD6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4F703B8"/>
    <w:multiLevelType w:val="hybridMultilevel"/>
    <w:tmpl w:val="6CB84E30"/>
    <w:lvl w:ilvl="0" w:tplc="1690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A6B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A44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9E74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5C7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06B7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A95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6E5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F2B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D2C37"/>
    <w:multiLevelType w:val="hybridMultilevel"/>
    <w:tmpl w:val="AA48207E"/>
    <w:lvl w:ilvl="0" w:tplc="FB0A4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028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DA6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45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A34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808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ECE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9AA4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6CFC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412AB"/>
    <w:multiLevelType w:val="multilevel"/>
    <w:tmpl w:val="E11CB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1781149178">
    <w:abstractNumId w:val="0"/>
  </w:num>
  <w:num w:numId="2" w16cid:durableId="1029263182">
    <w:abstractNumId w:val="4"/>
  </w:num>
  <w:num w:numId="3" w16cid:durableId="136459215">
    <w:abstractNumId w:val="7"/>
  </w:num>
  <w:num w:numId="4" w16cid:durableId="1852337479">
    <w:abstractNumId w:val="5"/>
  </w:num>
  <w:num w:numId="5" w16cid:durableId="342559479">
    <w:abstractNumId w:val="3"/>
  </w:num>
  <w:num w:numId="6" w16cid:durableId="1426070196">
    <w:abstractNumId w:val="1"/>
  </w:num>
  <w:num w:numId="7" w16cid:durableId="820461241">
    <w:abstractNumId w:val="6"/>
  </w:num>
  <w:num w:numId="8" w16cid:durableId="2062631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149C4"/>
    <w:rsid w:val="000331E0"/>
    <w:rsid w:val="0004302E"/>
    <w:rsid w:val="0004706F"/>
    <w:rsid w:val="00072117"/>
    <w:rsid w:val="000B18CB"/>
    <w:rsid w:val="000E5CC8"/>
    <w:rsid w:val="001363D6"/>
    <w:rsid w:val="001412B6"/>
    <w:rsid w:val="001722E4"/>
    <w:rsid w:val="00186465"/>
    <w:rsid w:val="001942A1"/>
    <w:rsid w:val="001A4104"/>
    <w:rsid w:val="001A5B07"/>
    <w:rsid w:val="001D691F"/>
    <w:rsid w:val="001D6A56"/>
    <w:rsid w:val="00201D6F"/>
    <w:rsid w:val="002234C4"/>
    <w:rsid w:val="00234F8A"/>
    <w:rsid w:val="00235F8D"/>
    <w:rsid w:val="00262323"/>
    <w:rsid w:val="00270340"/>
    <w:rsid w:val="002850D5"/>
    <w:rsid w:val="002C30C9"/>
    <w:rsid w:val="002C34EA"/>
    <w:rsid w:val="002C6791"/>
    <w:rsid w:val="003A4777"/>
    <w:rsid w:val="003B08DA"/>
    <w:rsid w:val="003B1E32"/>
    <w:rsid w:val="003B5E69"/>
    <w:rsid w:val="003D01CE"/>
    <w:rsid w:val="00435C83"/>
    <w:rsid w:val="0044492B"/>
    <w:rsid w:val="004505B3"/>
    <w:rsid w:val="00457D4C"/>
    <w:rsid w:val="0047359C"/>
    <w:rsid w:val="00474DF3"/>
    <w:rsid w:val="0047553F"/>
    <w:rsid w:val="004934C4"/>
    <w:rsid w:val="004A3DA8"/>
    <w:rsid w:val="004B32FA"/>
    <w:rsid w:val="004D02A6"/>
    <w:rsid w:val="004F6B0B"/>
    <w:rsid w:val="004F6E9B"/>
    <w:rsid w:val="00512047"/>
    <w:rsid w:val="00527643"/>
    <w:rsid w:val="005515D7"/>
    <w:rsid w:val="00567807"/>
    <w:rsid w:val="00571E44"/>
    <w:rsid w:val="005C1A35"/>
    <w:rsid w:val="005D47E8"/>
    <w:rsid w:val="005E287C"/>
    <w:rsid w:val="005E649B"/>
    <w:rsid w:val="005E74D4"/>
    <w:rsid w:val="00611215"/>
    <w:rsid w:val="00626527"/>
    <w:rsid w:val="00626D22"/>
    <w:rsid w:val="006336A5"/>
    <w:rsid w:val="00635650"/>
    <w:rsid w:val="0064203A"/>
    <w:rsid w:val="00687140"/>
    <w:rsid w:val="006B1745"/>
    <w:rsid w:val="006C35F6"/>
    <w:rsid w:val="006F128D"/>
    <w:rsid w:val="00705FFA"/>
    <w:rsid w:val="007222BA"/>
    <w:rsid w:val="00735713"/>
    <w:rsid w:val="00746F7A"/>
    <w:rsid w:val="007568EA"/>
    <w:rsid w:val="007643AE"/>
    <w:rsid w:val="007A3BDB"/>
    <w:rsid w:val="007F2018"/>
    <w:rsid w:val="00804BD4"/>
    <w:rsid w:val="0083159C"/>
    <w:rsid w:val="008361BD"/>
    <w:rsid w:val="00837D95"/>
    <w:rsid w:val="00862EC1"/>
    <w:rsid w:val="008B105E"/>
    <w:rsid w:val="008B428D"/>
    <w:rsid w:val="008C09FA"/>
    <w:rsid w:val="00905F8E"/>
    <w:rsid w:val="00942646"/>
    <w:rsid w:val="00945ACD"/>
    <w:rsid w:val="009C6FE6"/>
    <w:rsid w:val="009D110F"/>
    <w:rsid w:val="009E6A5F"/>
    <w:rsid w:val="00A16E45"/>
    <w:rsid w:val="00A3427F"/>
    <w:rsid w:val="00A5280C"/>
    <w:rsid w:val="00A56C53"/>
    <w:rsid w:val="00A6139D"/>
    <w:rsid w:val="00A641CD"/>
    <w:rsid w:val="00A64593"/>
    <w:rsid w:val="00A773E5"/>
    <w:rsid w:val="00A77AFC"/>
    <w:rsid w:val="00AA5EF8"/>
    <w:rsid w:val="00B025E4"/>
    <w:rsid w:val="00B1326B"/>
    <w:rsid w:val="00B27B40"/>
    <w:rsid w:val="00B83AFF"/>
    <w:rsid w:val="00BB24FC"/>
    <w:rsid w:val="00BB636B"/>
    <w:rsid w:val="00BC6A7C"/>
    <w:rsid w:val="00BE3926"/>
    <w:rsid w:val="00BF28D4"/>
    <w:rsid w:val="00BF5A34"/>
    <w:rsid w:val="00C01D2E"/>
    <w:rsid w:val="00C0722E"/>
    <w:rsid w:val="00C418AF"/>
    <w:rsid w:val="00C6181D"/>
    <w:rsid w:val="00C64BEF"/>
    <w:rsid w:val="00C711A5"/>
    <w:rsid w:val="00C96D04"/>
    <w:rsid w:val="00CA419E"/>
    <w:rsid w:val="00CA5585"/>
    <w:rsid w:val="00CB4980"/>
    <w:rsid w:val="00CD705F"/>
    <w:rsid w:val="00CF6359"/>
    <w:rsid w:val="00D009DC"/>
    <w:rsid w:val="00D02CAE"/>
    <w:rsid w:val="00D17FEA"/>
    <w:rsid w:val="00D26FE7"/>
    <w:rsid w:val="00D50788"/>
    <w:rsid w:val="00D520E6"/>
    <w:rsid w:val="00D61279"/>
    <w:rsid w:val="00D64F26"/>
    <w:rsid w:val="00D80505"/>
    <w:rsid w:val="00DB3441"/>
    <w:rsid w:val="00DC74EA"/>
    <w:rsid w:val="00DD7FB2"/>
    <w:rsid w:val="00DE7F0F"/>
    <w:rsid w:val="00E1349E"/>
    <w:rsid w:val="00E17E71"/>
    <w:rsid w:val="00E80584"/>
    <w:rsid w:val="00EB65E7"/>
    <w:rsid w:val="00EE6E62"/>
    <w:rsid w:val="00F059F0"/>
    <w:rsid w:val="00F07F1F"/>
    <w:rsid w:val="00F235D6"/>
    <w:rsid w:val="00F2378B"/>
    <w:rsid w:val="00F26A31"/>
    <w:rsid w:val="00F32A59"/>
    <w:rsid w:val="00F351D7"/>
    <w:rsid w:val="00F60141"/>
    <w:rsid w:val="00F82AB3"/>
    <w:rsid w:val="00F8353E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359"/>
    <w:pPr>
      <w:ind w:left="720"/>
      <w:contextualSpacing/>
    </w:pPr>
  </w:style>
  <w:style w:type="table" w:styleId="TableGrid">
    <w:name w:val="Table Grid"/>
    <w:basedOn w:val="TableNormal"/>
    <w:uiPriority w:val="39"/>
    <w:rsid w:val="00705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2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A59"/>
  </w:style>
  <w:style w:type="paragraph" w:styleId="Footer">
    <w:name w:val="footer"/>
    <w:basedOn w:val="Normal"/>
    <w:link w:val="FooterChar"/>
    <w:uiPriority w:val="99"/>
    <w:unhideWhenUsed/>
    <w:rsid w:val="00F32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EDE7D-60C2-4DDC-8751-348251865287}">
  <ds:schemaRefs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8ef27eb8-0e3d-496f-b523-771757bdd770"/>
    <ds:schemaRef ds:uri="http://schemas.microsoft.com/office/2006/documentManagement/types"/>
    <ds:schemaRef ds:uri="8416942f-d982-4ba4-a5b0-104826b4be2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66647E-4E27-4FAB-BD68-1DB2123CC4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6FCB9-7145-458C-8BB8-35C42CF79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Rich Riffle</cp:lastModifiedBy>
  <cp:revision>2</cp:revision>
  <cp:lastPrinted>2023-04-07T17:20:00Z</cp:lastPrinted>
  <dcterms:created xsi:type="dcterms:W3CDTF">2025-05-21T12:13:00Z</dcterms:created>
  <dcterms:modified xsi:type="dcterms:W3CDTF">2025-05-21T12:13:00Z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a1b0221edd8941dcacb67f3b049d82660eb455dcb23c2bc6dbacfd974f6e6e76</vt:lpwstr>
  </property>
  <property fmtid="{D5CDD505-2E9C-101B-9397-08002B2CF9AE}" pid="3" name="ContentTypeId">
    <vt:lpwstr>0x0101002FE5814883B49940B4B8AAE202A6E984</vt:lpwstr>
  </property>
</Properties>
</file>