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540" w:tblpY="1141"/>
        <w:tblW w:w="10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3"/>
        <w:gridCol w:w="1137"/>
        <w:gridCol w:w="2995"/>
        <w:gridCol w:w="1698"/>
        <w:gridCol w:w="722"/>
        <w:gridCol w:w="630"/>
        <w:gridCol w:w="1560"/>
      </w:tblGrid>
      <w:tr w:rsidR="004A3DA8" w14:paraId="33FC8A2A" w14:textId="77777777" w:rsidTr="00186465">
        <w:trPr>
          <w:trHeight w:val="576"/>
        </w:trPr>
        <w:tc>
          <w:tcPr>
            <w:tcW w:w="1653" w:type="dxa"/>
            <w:vMerge w:val="restart"/>
            <w:tcBorders>
              <w:top w:val="nil"/>
              <w:left w:val="nil"/>
              <w:right w:val="nil"/>
            </w:tcBorders>
          </w:tcPr>
          <w:p w14:paraId="7733C63F" w14:textId="6F83D1DA" w:rsidR="00435C83" w:rsidRDefault="006E45C1" w:rsidP="00186465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9AB3DE7" wp14:editId="477824BB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-97848</wp:posOffset>
                  </wp:positionV>
                  <wp:extent cx="923925" cy="923925"/>
                  <wp:effectExtent l="0" t="0" r="952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37" w:type="dxa"/>
            <w:tcBorders>
              <w:top w:val="single" w:sz="12" w:space="0" w:color="auto"/>
              <w:left w:val="nil"/>
            </w:tcBorders>
            <w:vAlign w:val="center"/>
          </w:tcPr>
          <w:p w14:paraId="18495DE5" w14:textId="21BEEAEE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Title</w:t>
            </w:r>
            <w:r w:rsidRPr="00C96D04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4693" w:type="dxa"/>
            <w:gridSpan w:val="2"/>
            <w:tcBorders>
              <w:top w:val="single" w:sz="12" w:space="0" w:color="auto"/>
            </w:tcBorders>
            <w:vAlign w:val="center"/>
          </w:tcPr>
          <w:p w14:paraId="51A3C92C" w14:textId="777E24BD" w:rsidR="00435C83" w:rsidRPr="00C96D04" w:rsidRDefault="003A4C3E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NOTIFICATION, ACCEPTANCE AND DECLINING    OF A CASE</w:t>
            </w:r>
          </w:p>
        </w:tc>
        <w:tc>
          <w:tcPr>
            <w:tcW w:w="1352" w:type="dxa"/>
            <w:gridSpan w:val="2"/>
            <w:tcBorders>
              <w:top w:val="single" w:sz="12" w:space="0" w:color="auto"/>
            </w:tcBorders>
            <w:vAlign w:val="center"/>
          </w:tcPr>
          <w:p w14:paraId="1369728E" w14:textId="00B7D1AC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Policy #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1C0BC7" w14:textId="0F446655" w:rsidR="00435C83" w:rsidRPr="00C96D04" w:rsidRDefault="009D3A67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I.1.02</w:t>
            </w:r>
          </w:p>
        </w:tc>
      </w:tr>
      <w:tr w:rsidR="00A20984" w14:paraId="053E9FC0" w14:textId="71F50D38" w:rsidTr="00B73E8B">
        <w:trPr>
          <w:trHeight w:val="443"/>
        </w:trPr>
        <w:tc>
          <w:tcPr>
            <w:tcW w:w="1653" w:type="dxa"/>
            <w:vMerge/>
            <w:tcBorders>
              <w:left w:val="nil"/>
              <w:right w:val="nil"/>
            </w:tcBorders>
          </w:tcPr>
          <w:p w14:paraId="7A4D41EC" w14:textId="77777777" w:rsidR="00A20984" w:rsidRDefault="00A20984" w:rsidP="00186465"/>
        </w:tc>
        <w:tc>
          <w:tcPr>
            <w:tcW w:w="1137" w:type="dxa"/>
            <w:tcBorders>
              <w:left w:val="nil"/>
            </w:tcBorders>
            <w:vAlign w:val="center"/>
          </w:tcPr>
          <w:p w14:paraId="00E704AE" w14:textId="17FA2DB3" w:rsidR="00A20984" w:rsidRPr="00C96D04" w:rsidRDefault="00A20984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Division:</w:t>
            </w:r>
          </w:p>
        </w:tc>
        <w:tc>
          <w:tcPr>
            <w:tcW w:w="4693" w:type="dxa"/>
            <w:gridSpan w:val="2"/>
            <w:vAlign w:val="center"/>
          </w:tcPr>
          <w:p w14:paraId="39AB4A1F" w14:textId="570620E6" w:rsidR="00A20984" w:rsidRPr="00C96D04" w:rsidRDefault="00A20984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Investigation, Pathology</w:t>
            </w:r>
          </w:p>
        </w:tc>
        <w:tc>
          <w:tcPr>
            <w:tcW w:w="1352" w:type="dxa"/>
            <w:gridSpan w:val="2"/>
            <w:vAlign w:val="center"/>
          </w:tcPr>
          <w:p w14:paraId="7B4768F7" w14:textId="53EAA651" w:rsidR="00A20984" w:rsidRPr="00C96D04" w:rsidRDefault="00A20984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Page: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61090977" w14:textId="0318554C" w:rsidR="00A20984" w:rsidRPr="00A20984" w:rsidRDefault="00A20984" w:rsidP="00A20984">
            <w:pPr>
              <w:jc w:val="center"/>
              <w:rPr>
                <w:rFonts w:cstheme="minorHAnsi"/>
              </w:rPr>
            </w:pPr>
            <w:r w:rsidRPr="00A20984">
              <w:rPr>
                <w:rFonts w:cstheme="minorHAnsi"/>
              </w:rPr>
              <w:t xml:space="preserve">Page </w:t>
            </w:r>
            <w:r w:rsidRPr="00A20984">
              <w:rPr>
                <w:rFonts w:cstheme="minorHAnsi"/>
              </w:rPr>
              <w:fldChar w:fldCharType="begin"/>
            </w:r>
            <w:r w:rsidRPr="00A20984">
              <w:rPr>
                <w:rFonts w:cstheme="minorHAnsi"/>
              </w:rPr>
              <w:instrText xml:space="preserve"> PAGE  \* Arabic  \* MERGEFORMAT </w:instrText>
            </w:r>
            <w:r w:rsidRPr="00A20984">
              <w:rPr>
                <w:rFonts w:cstheme="minorHAnsi"/>
              </w:rPr>
              <w:fldChar w:fldCharType="separate"/>
            </w:r>
            <w:r w:rsidRPr="00A20984">
              <w:rPr>
                <w:rFonts w:cstheme="minorHAnsi"/>
                <w:noProof/>
              </w:rPr>
              <w:t>1</w:t>
            </w:r>
            <w:r w:rsidRPr="00A20984">
              <w:rPr>
                <w:rFonts w:cstheme="minorHAnsi"/>
              </w:rPr>
              <w:fldChar w:fldCharType="end"/>
            </w:r>
            <w:r w:rsidRPr="00A20984">
              <w:rPr>
                <w:rFonts w:cstheme="minorHAnsi"/>
              </w:rPr>
              <w:t xml:space="preserve"> of </w:t>
            </w:r>
            <w:r w:rsidRPr="00A20984">
              <w:rPr>
                <w:rFonts w:cstheme="minorHAnsi"/>
              </w:rPr>
              <w:fldChar w:fldCharType="begin"/>
            </w:r>
            <w:r w:rsidRPr="00A20984">
              <w:rPr>
                <w:rFonts w:cstheme="minorHAnsi"/>
              </w:rPr>
              <w:instrText xml:space="preserve"> NUMPAGES  \* Arabic  \* MERGEFORMAT </w:instrText>
            </w:r>
            <w:r w:rsidRPr="00A20984">
              <w:rPr>
                <w:rFonts w:cstheme="minorHAnsi"/>
              </w:rPr>
              <w:fldChar w:fldCharType="separate"/>
            </w:r>
            <w:r w:rsidRPr="00A20984">
              <w:rPr>
                <w:rFonts w:cstheme="minorHAnsi"/>
                <w:noProof/>
              </w:rPr>
              <w:t>2</w:t>
            </w:r>
            <w:r w:rsidRPr="00A20984">
              <w:rPr>
                <w:rFonts w:cstheme="minorHAnsi"/>
              </w:rPr>
              <w:fldChar w:fldCharType="end"/>
            </w:r>
          </w:p>
        </w:tc>
      </w:tr>
      <w:tr w:rsidR="00F059F0" w14:paraId="39022FCF" w14:textId="078DB152" w:rsidTr="00F8353E">
        <w:trPr>
          <w:trHeight w:val="668"/>
        </w:trPr>
        <w:tc>
          <w:tcPr>
            <w:tcW w:w="2790" w:type="dxa"/>
            <w:gridSpan w:val="2"/>
            <w:tcBorders>
              <w:left w:val="single" w:sz="12" w:space="0" w:color="auto"/>
            </w:tcBorders>
            <w:vAlign w:val="center"/>
          </w:tcPr>
          <w:p w14:paraId="19C4849A" w14:textId="05B7BFA5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Coroner Signature:</w:t>
            </w:r>
          </w:p>
        </w:tc>
        <w:tc>
          <w:tcPr>
            <w:tcW w:w="2995" w:type="dxa"/>
            <w:vAlign w:val="center"/>
          </w:tcPr>
          <w:p w14:paraId="231FC0E5" w14:textId="0AB2AB93" w:rsidR="00F059F0" w:rsidRPr="00C96D04" w:rsidRDefault="00A35EAC" w:rsidP="00F8353E">
            <w:pPr>
              <w:jc w:val="center"/>
              <w:rPr>
                <w:rFonts w:cstheme="minorHAnsi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1" behindDoc="1" locked="0" layoutInCell="1" allowOverlap="1" wp14:anchorId="618B1613" wp14:editId="79D55171">
                  <wp:simplePos x="0" y="0"/>
                  <wp:positionH relativeFrom="column">
                    <wp:posOffset>-495300</wp:posOffset>
                  </wp:positionH>
                  <wp:positionV relativeFrom="page">
                    <wp:posOffset>-145415</wp:posOffset>
                  </wp:positionV>
                  <wp:extent cx="2657475" cy="664845"/>
                  <wp:effectExtent l="0" t="0" r="9525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664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20" w:type="dxa"/>
            <w:gridSpan w:val="2"/>
            <w:tcBorders>
              <w:right w:val="single" w:sz="4" w:space="0" w:color="auto"/>
            </w:tcBorders>
            <w:vAlign w:val="center"/>
          </w:tcPr>
          <w:p w14:paraId="4AFF2383" w14:textId="6123D5A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NAME Reference:</w:t>
            </w:r>
          </w:p>
        </w:tc>
        <w:tc>
          <w:tcPr>
            <w:tcW w:w="2190" w:type="dxa"/>
            <w:gridSpan w:val="2"/>
            <w:tcBorders>
              <w:right w:val="single" w:sz="12" w:space="0" w:color="auto"/>
            </w:tcBorders>
            <w:vAlign w:val="center"/>
          </w:tcPr>
          <w:p w14:paraId="61D8405F" w14:textId="77BD7B35" w:rsidR="00F059F0" w:rsidRPr="00C96D04" w:rsidRDefault="00AE3754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B1a,</w:t>
            </w:r>
            <w:r w:rsidR="00895C0E" w:rsidRPr="001D7CB1">
              <w:rPr>
                <w:rFonts w:cstheme="minorHAnsi"/>
              </w:rPr>
              <w:t>B1b,</w:t>
            </w:r>
            <w:r w:rsidR="00895C0E">
              <w:rPr>
                <w:rFonts w:cstheme="minorHAnsi"/>
              </w:rPr>
              <w:t>B1c,</w:t>
            </w:r>
            <w:r w:rsidR="00AB318B">
              <w:rPr>
                <w:rFonts w:cstheme="minorHAnsi"/>
              </w:rPr>
              <w:t>B3c,</w:t>
            </w:r>
          </w:p>
        </w:tc>
      </w:tr>
      <w:tr w:rsidR="00F059F0" w14:paraId="699B9FF3" w14:textId="77777777" w:rsidTr="00F8353E">
        <w:trPr>
          <w:trHeight w:val="740"/>
        </w:trPr>
        <w:tc>
          <w:tcPr>
            <w:tcW w:w="279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AE111" w14:textId="3757DAD4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Approved/Revised Date:</w:t>
            </w:r>
          </w:p>
        </w:tc>
        <w:tc>
          <w:tcPr>
            <w:tcW w:w="2995" w:type="dxa"/>
            <w:tcBorders>
              <w:bottom w:val="single" w:sz="12" w:space="0" w:color="auto"/>
            </w:tcBorders>
            <w:vAlign w:val="center"/>
          </w:tcPr>
          <w:p w14:paraId="7A2C4A96" w14:textId="6896BCC9" w:rsidR="00F059F0" w:rsidRPr="00A35EAC" w:rsidRDefault="00A35EAC" w:rsidP="00F8353E">
            <w:pPr>
              <w:jc w:val="center"/>
              <w:rPr>
                <w:rFonts w:cstheme="minorHAnsi"/>
                <w:b/>
                <w:bCs/>
                <w:color w:val="0070C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70C0"/>
                <w:sz w:val="24"/>
                <w:szCs w:val="24"/>
              </w:rPr>
              <w:t>02-20-2024</w:t>
            </w:r>
          </w:p>
        </w:tc>
        <w:tc>
          <w:tcPr>
            <w:tcW w:w="2420" w:type="dxa"/>
            <w:gridSpan w:val="2"/>
            <w:tcBorders>
              <w:bottom w:val="single" w:sz="12" w:space="0" w:color="auto"/>
            </w:tcBorders>
            <w:vAlign w:val="center"/>
          </w:tcPr>
          <w:p w14:paraId="4F59EF38" w14:textId="0556134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IACME Reference:</w:t>
            </w:r>
          </w:p>
        </w:tc>
        <w:tc>
          <w:tcPr>
            <w:tcW w:w="219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CA4A93" w14:textId="70CB4699" w:rsidR="00F059F0" w:rsidRPr="00C96D04" w:rsidRDefault="009B25C7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A5g,</w:t>
            </w:r>
            <w:r w:rsidR="00265535">
              <w:rPr>
                <w:rFonts w:cstheme="minorHAnsi"/>
              </w:rPr>
              <w:t>A5j</w:t>
            </w:r>
            <w:r w:rsidR="00312173">
              <w:rPr>
                <w:rFonts w:cstheme="minorHAnsi"/>
              </w:rPr>
              <w:t>,A6e</w:t>
            </w:r>
            <w:r w:rsidR="00265535">
              <w:rPr>
                <w:rFonts w:cstheme="minorHAnsi"/>
              </w:rPr>
              <w:t>,</w:t>
            </w:r>
            <w:r w:rsidR="00A1228C">
              <w:rPr>
                <w:rFonts w:cstheme="minorHAnsi"/>
              </w:rPr>
              <w:t>B1a,B1c</w:t>
            </w:r>
          </w:p>
        </w:tc>
      </w:tr>
    </w:tbl>
    <w:p w14:paraId="0B118C5D" w14:textId="40C20D44" w:rsidR="00186465" w:rsidRDefault="00186465"/>
    <w:p w14:paraId="0357E527" w14:textId="36BE20C7" w:rsidR="00186465" w:rsidRDefault="00186465"/>
    <w:p w14:paraId="36759F53" w14:textId="486485E5" w:rsidR="00D67E6B" w:rsidRDefault="00566A45" w:rsidP="00D67D2A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  <w:u w:val="single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POLICY</w:t>
      </w:r>
      <w:r w:rsidR="00D67E6B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:</w:t>
      </w:r>
    </w:p>
    <w:p w14:paraId="44AC4181" w14:textId="1BA2293E" w:rsidR="00186465" w:rsidRDefault="00D67E6B" w:rsidP="00D67D2A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The </w:t>
      </w:r>
      <w:r w:rsidR="00566A45">
        <w:rPr>
          <w:rFonts w:eastAsia="Times New Roman" w:cstheme="minorHAnsi"/>
          <w:color w:val="000000"/>
          <w:sz w:val="24"/>
          <w:szCs w:val="24"/>
        </w:rPr>
        <w:t>Ada County Coroner’s Office (ACCO)</w:t>
      </w:r>
      <w:r>
        <w:rPr>
          <w:rFonts w:eastAsia="Times New Roman" w:cstheme="minorHAnsi"/>
          <w:color w:val="000000"/>
          <w:sz w:val="24"/>
          <w:szCs w:val="24"/>
        </w:rPr>
        <w:t xml:space="preserve"> is authorized to</w:t>
      </w:r>
      <w:r w:rsidR="00885993">
        <w:rPr>
          <w:rFonts w:eastAsia="Times New Roman" w:cstheme="minorHAnsi"/>
          <w:color w:val="000000"/>
          <w:sz w:val="24"/>
          <w:szCs w:val="24"/>
        </w:rPr>
        <w:t xml:space="preserve"> provide investigative inquiry into all deaths occurring in the geographical boundaries of Ada County, and within the criteria set under Idaho Code §19-4301.</w:t>
      </w:r>
    </w:p>
    <w:p w14:paraId="3E0E27FF" w14:textId="074A9EA9" w:rsidR="001412B6" w:rsidRDefault="00D67E6B" w:rsidP="00D67D2A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All deaths reported to the </w:t>
      </w:r>
      <w:r w:rsidR="001D7CB1">
        <w:rPr>
          <w:rFonts w:eastAsia="Times New Roman" w:cstheme="minorHAnsi"/>
          <w:color w:val="000000"/>
          <w:sz w:val="24"/>
          <w:szCs w:val="24"/>
        </w:rPr>
        <w:t>ACCO</w:t>
      </w:r>
      <w:r>
        <w:rPr>
          <w:rFonts w:eastAsia="Times New Roman" w:cstheme="minorHAnsi"/>
          <w:color w:val="000000"/>
          <w:sz w:val="24"/>
          <w:szCs w:val="24"/>
        </w:rPr>
        <w:t xml:space="preserve"> shall be thoroughly investigated to determine jurisdiction.</w:t>
      </w:r>
      <w:r w:rsidR="002C4FB3" w:rsidRPr="002C4FB3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885993">
        <w:rPr>
          <w:rFonts w:eastAsia="Times New Roman" w:cstheme="minorHAnsi"/>
          <w:color w:val="000000"/>
          <w:sz w:val="24"/>
          <w:szCs w:val="24"/>
        </w:rPr>
        <w:t>To facilitate death notification and investigation, a</w:t>
      </w:r>
      <w:r w:rsidR="002C4FB3">
        <w:rPr>
          <w:rFonts w:eastAsia="Times New Roman" w:cstheme="minorHAnsi"/>
          <w:color w:val="000000"/>
          <w:sz w:val="24"/>
          <w:szCs w:val="24"/>
        </w:rPr>
        <w:t xml:space="preserve"> medicolegal death investigator shall be available twenty-four (24) hours a day to </w:t>
      </w:r>
      <w:r w:rsidR="00885993">
        <w:rPr>
          <w:rFonts w:eastAsia="Times New Roman" w:cstheme="minorHAnsi"/>
          <w:color w:val="000000"/>
          <w:sz w:val="24"/>
          <w:szCs w:val="24"/>
        </w:rPr>
        <w:t xml:space="preserve">receive and </w:t>
      </w:r>
      <w:r w:rsidR="002C4FB3">
        <w:rPr>
          <w:rFonts w:eastAsia="Times New Roman" w:cstheme="minorHAnsi"/>
          <w:color w:val="000000"/>
          <w:sz w:val="24"/>
          <w:szCs w:val="24"/>
        </w:rPr>
        <w:t>respond to calls for service.</w:t>
      </w:r>
    </w:p>
    <w:p w14:paraId="0480E994" w14:textId="608D742F" w:rsidR="001412B6" w:rsidRPr="001412B6" w:rsidRDefault="001412B6" w:rsidP="00D67D2A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2DAF095D" w14:textId="2F8C551A" w:rsidR="001412B6" w:rsidRPr="00186465" w:rsidRDefault="001412B6" w:rsidP="00D67D2A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412B6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PROCEDURE</w:t>
      </w:r>
      <w:r>
        <w:rPr>
          <w:rFonts w:eastAsia="Times New Roman" w:cstheme="minorHAnsi"/>
          <w:color w:val="000000"/>
          <w:sz w:val="24"/>
          <w:szCs w:val="24"/>
        </w:rPr>
        <w:t>:</w:t>
      </w:r>
    </w:p>
    <w:p w14:paraId="0BD70EDE" w14:textId="0F98595D" w:rsidR="00D67E6B" w:rsidRDefault="00D67E6B" w:rsidP="00D67D2A">
      <w:pPr>
        <w:pStyle w:val="ListParagraph"/>
        <w:numPr>
          <w:ilvl w:val="0"/>
          <w:numId w:val="1"/>
        </w:numPr>
        <w:ind w:left="180"/>
        <w:jc w:val="both"/>
        <w:rPr>
          <w:b/>
          <w:bCs/>
          <w:sz w:val="24"/>
          <w:szCs w:val="24"/>
        </w:rPr>
      </w:pPr>
      <w:r w:rsidRPr="00D67E6B">
        <w:rPr>
          <w:b/>
          <w:bCs/>
          <w:sz w:val="24"/>
          <w:szCs w:val="24"/>
        </w:rPr>
        <w:t>Notification</w:t>
      </w:r>
    </w:p>
    <w:p w14:paraId="62A8FCFB" w14:textId="01086D7D" w:rsidR="00D67E6B" w:rsidRDefault="00D67E6B" w:rsidP="00D67D2A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 w:rsidRPr="00D67E6B">
        <w:rPr>
          <w:sz w:val="24"/>
          <w:szCs w:val="24"/>
        </w:rPr>
        <w:t>Deaths should be reported to the ACCO immediately in order to determine jurisdiction</w:t>
      </w:r>
      <w:r w:rsidR="00793FF1">
        <w:rPr>
          <w:sz w:val="24"/>
          <w:szCs w:val="24"/>
        </w:rPr>
        <w:t>, and to facilitate the investigation</w:t>
      </w:r>
      <w:r>
        <w:rPr>
          <w:sz w:val="24"/>
          <w:szCs w:val="24"/>
        </w:rPr>
        <w:t>.</w:t>
      </w:r>
    </w:p>
    <w:p w14:paraId="22D6BF3C" w14:textId="4AEBD15F" w:rsidR="00D67E6B" w:rsidRDefault="00D67E6B" w:rsidP="00D67D2A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Deaths </w:t>
      </w:r>
      <w:r w:rsidR="005D0EBE">
        <w:rPr>
          <w:sz w:val="24"/>
          <w:szCs w:val="24"/>
        </w:rPr>
        <w:t>may be</w:t>
      </w:r>
      <w:r>
        <w:rPr>
          <w:sz w:val="24"/>
          <w:szCs w:val="24"/>
        </w:rPr>
        <w:t xml:space="preserve"> reported to the ACCO by </w:t>
      </w:r>
      <w:r w:rsidR="00793FF1">
        <w:rPr>
          <w:sz w:val="24"/>
          <w:szCs w:val="24"/>
        </w:rPr>
        <w:t>law enforcement</w:t>
      </w:r>
      <w:r>
        <w:rPr>
          <w:sz w:val="24"/>
          <w:szCs w:val="24"/>
        </w:rPr>
        <w:t xml:space="preserve">, medical personnel, </w:t>
      </w:r>
      <w:r w:rsidR="008C4BB3">
        <w:rPr>
          <w:sz w:val="24"/>
          <w:szCs w:val="24"/>
        </w:rPr>
        <w:t>assisted living centers</w:t>
      </w:r>
      <w:r>
        <w:rPr>
          <w:sz w:val="24"/>
          <w:szCs w:val="24"/>
        </w:rPr>
        <w:t>,</w:t>
      </w:r>
      <w:r w:rsidR="00AF6910">
        <w:rPr>
          <w:sz w:val="24"/>
          <w:szCs w:val="24"/>
        </w:rPr>
        <w:t xml:space="preserve"> </w:t>
      </w:r>
      <w:r w:rsidR="005D0EBE" w:rsidRPr="005D0EBE">
        <w:rPr>
          <w:sz w:val="24"/>
          <w:szCs w:val="24"/>
        </w:rPr>
        <w:t>organ/tissue procurement agencies</w:t>
      </w:r>
      <w:r w:rsidR="00AF6910" w:rsidRPr="005D0EBE">
        <w:rPr>
          <w:sz w:val="24"/>
          <w:szCs w:val="24"/>
        </w:rPr>
        <w:t>,</w:t>
      </w:r>
      <w:r>
        <w:rPr>
          <w:sz w:val="24"/>
          <w:szCs w:val="24"/>
        </w:rPr>
        <w:t xml:space="preserve"> members of the funeral industry</w:t>
      </w:r>
      <w:r w:rsidR="005D0EBE">
        <w:rPr>
          <w:sz w:val="24"/>
          <w:szCs w:val="24"/>
        </w:rPr>
        <w:t>, etc</w:t>
      </w:r>
      <w:r>
        <w:rPr>
          <w:sz w:val="24"/>
          <w:szCs w:val="24"/>
        </w:rPr>
        <w:t>.</w:t>
      </w:r>
    </w:p>
    <w:p w14:paraId="5DDDA1F6" w14:textId="1ED67014" w:rsidR="00D67E6B" w:rsidRPr="001B48F2" w:rsidRDefault="00D67E6B" w:rsidP="00D67D2A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  <w:highlight w:val="yellow"/>
        </w:rPr>
      </w:pPr>
      <w:r w:rsidRPr="001B48F2">
        <w:rPr>
          <w:sz w:val="24"/>
          <w:szCs w:val="24"/>
          <w:highlight w:val="yellow"/>
        </w:rPr>
        <w:t>The following types of deaths are reportable and must be investigated:</w:t>
      </w:r>
    </w:p>
    <w:p w14:paraId="185933E2" w14:textId="573E7D1C" w:rsidR="000F4932" w:rsidRPr="001B48F2" w:rsidRDefault="0084153D" w:rsidP="00D67D2A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  <w:highlight w:val="yellow"/>
        </w:rPr>
      </w:pPr>
      <w:r w:rsidRPr="001B48F2">
        <w:rPr>
          <w:sz w:val="24"/>
          <w:szCs w:val="24"/>
          <w:highlight w:val="yellow"/>
        </w:rPr>
        <w:t>Of criminal violence</w:t>
      </w:r>
    </w:p>
    <w:p w14:paraId="13529276" w14:textId="374A507D" w:rsidR="0084153D" w:rsidRPr="001B48F2" w:rsidRDefault="0084153D" w:rsidP="00D67D2A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  <w:highlight w:val="yellow"/>
        </w:rPr>
      </w:pPr>
      <w:r w:rsidRPr="001B48F2">
        <w:rPr>
          <w:sz w:val="24"/>
          <w:szCs w:val="24"/>
          <w:highlight w:val="yellow"/>
        </w:rPr>
        <w:t>By accident</w:t>
      </w:r>
    </w:p>
    <w:p w14:paraId="38FEAED7" w14:textId="0D813538" w:rsidR="0084153D" w:rsidRPr="001B48F2" w:rsidRDefault="0084153D" w:rsidP="00D67D2A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  <w:highlight w:val="yellow"/>
        </w:rPr>
      </w:pPr>
      <w:r w:rsidRPr="001B48F2">
        <w:rPr>
          <w:sz w:val="24"/>
          <w:szCs w:val="24"/>
          <w:highlight w:val="yellow"/>
        </w:rPr>
        <w:t>By suicide</w:t>
      </w:r>
    </w:p>
    <w:p w14:paraId="30E350BA" w14:textId="7D0A743A" w:rsidR="0084153D" w:rsidRPr="001B48F2" w:rsidRDefault="0084153D" w:rsidP="00D67D2A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  <w:highlight w:val="yellow"/>
        </w:rPr>
      </w:pPr>
      <w:r w:rsidRPr="001B48F2">
        <w:rPr>
          <w:sz w:val="24"/>
          <w:szCs w:val="24"/>
          <w:highlight w:val="yellow"/>
        </w:rPr>
        <w:t>Suddenly, when in apparent good health</w:t>
      </w:r>
    </w:p>
    <w:p w14:paraId="1519CCCF" w14:textId="1AC9EE89" w:rsidR="0084153D" w:rsidRPr="001B48F2" w:rsidRDefault="0084153D" w:rsidP="00D67D2A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  <w:highlight w:val="yellow"/>
        </w:rPr>
      </w:pPr>
      <w:r w:rsidRPr="001B48F2">
        <w:rPr>
          <w:sz w:val="24"/>
          <w:szCs w:val="24"/>
          <w:highlight w:val="yellow"/>
        </w:rPr>
        <w:t>Unattended by a practicing physician or other recognized practitioner</w:t>
      </w:r>
    </w:p>
    <w:p w14:paraId="4FD0AC86" w14:textId="0CC5AC6A" w:rsidR="0084153D" w:rsidRPr="001B48F2" w:rsidRDefault="0084153D" w:rsidP="00D67D2A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  <w:highlight w:val="yellow"/>
        </w:rPr>
      </w:pPr>
      <w:r w:rsidRPr="001B48F2">
        <w:rPr>
          <w:sz w:val="24"/>
          <w:szCs w:val="24"/>
          <w:highlight w:val="yellow"/>
        </w:rPr>
        <w:t>In any prison or penal institution</w:t>
      </w:r>
    </w:p>
    <w:p w14:paraId="1674143C" w14:textId="71B8C87C" w:rsidR="0084153D" w:rsidRPr="001B48F2" w:rsidRDefault="0084153D" w:rsidP="00D67D2A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  <w:highlight w:val="yellow"/>
        </w:rPr>
      </w:pPr>
      <w:r w:rsidRPr="001B48F2">
        <w:rPr>
          <w:sz w:val="24"/>
          <w:szCs w:val="24"/>
          <w:highlight w:val="yellow"/>
        </w:rPr>
        <w:t>In police custody</w:t>
      </w:r>
    </w:p>
    <w:p w14:paraId="58F02246" w14:textId="762D355B" w:rsidR="0084153D" w:rsidRPr="001B48F2" w:rsidRDefault="0084153D" w:rsidP="00D67D2A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  <w:highlight w:val="yellow"/>
        </w:rPr>
      </w:pPr>
      <w:r w:rsidRPr="001B48F2">
        <w:rPr>
          <w:sz w:val="24"/>
          <w:szCs w:val="24"/>
          <w:highlight w:val="yellow"/>
        </w:rPr>
        <w:t>In any suspicious or unusual circumstance</w:t>
      </w:r>
    </w:p>
    <w:p w14:paraId="3F64D9B2" w14:textId="50694CCE" w:rsidR="0084153D" w:rsidRPr="001B48F2" w:rsidRDefault="0084153D" w:rsidP="00D67D2A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  <w:highlight w:val="yellow"/>
        </w:rPr>
      </w:pPr>
      <w:r w:rsidRPr="001B48F2">
        <w:rPr>
          <w:sz w:val="24"/>
          <w:szCs w:val="24"/>
          <w:highlight w:val="yellow"/>
        </w:rPr>
        <w:t>By criminal abortion</w:t>
      </w:r>
    </w:p>
    <w:p w14:paraId="72B451E6" w14:textId="5E71C808" w:rsidR="0084153D" w:rsidRPr="001B48F2" w:rsidRDefault="0084153D" w:rsidP="00D67D2A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  <w:highlight w:val="yellow"/>
        </w:rPr>
      </w:pPr>
      <w:r w:rsidRPr="001B48F2">
        <w:rPr>
          <w:sz w:val="24"/>
          <w:szCs w:val="24"/>
          <w:highlight w:val="yellow"/>
        </w:rPr>
        <w:t>By poison</w:t>
      </w:r>
    </w:p>
    <w:p w14:paraId="4E13C90D" w14:textId="56F73D6D" w:rsidR="0084153D" w:rsidRPr="001B48F2" w:rsidRDefault="0084153D" w:rsidP="00D67D2A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  <w:highlight w:val="yellow"/>
        </w:rPr>
      </w:pPr>
      <w:r w:rsidRPr="001B48F2">
        <w:rPr>
          <w:sz w:val="24"/>
          <w:szCs w:val="24"/>
          <w:highlight w:val="yellow"/>
        </w:rPr>
        <w:t>By disease</w:t>
      </w:r>
      <w:r w:rsidR="003C6458" w:rsidRPr="001B48F2">
        <w:rPr>
          <w:sz w:val="24"/>
          <w:szCs w:val="24"/>
          <w:highlight w:val="yellow"/>
        </w:rPr>
        <w:t>,</w:t>
      </w:r>
      <w:r w:rsidRPr="001B48F2">
        <w:rPr>
          <w:sz w:val="24"/>
          <w:szCs w:val="24"/>
          <w:highlight w:val="yellow"/>
        </w:rPr>
        <w:t xml:space="preserve"> constituting a threat to public health</w:t>
      </w:r>
    </w:p>
    <w:p w14:paraId="435CE262" w14:textId="4EE7D8A3" w:rsidR="0084153D" w:rsidRPr="001B48F2" w:rsidRDefault="0084153D" w:rsidP="00D67D2A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  <w:highlight w:val="yellow"/>
        </w:rPr>
      </w:pPr>
      <w:r w:rsidRPr="001B48F2">
        <w:rPr>
          <w:sz w:val="24"/>
          <w:szCs w:val="24"/>
          <w:highlight w:val="yellow"/>
        </w:rPr>
        <w:lastRenderedPageBreak/>
        <w:t>By disease, injury, or toxic agent resulting from employment</w:t>
      </w:r>
    </w:p>
    <w:p w14:paraId="20F63382" w14:textId="4D706DC6" w:rsidR="00D67E6B" w:rsidRPr="00150204" w:rsidRDefault="00D67E6B" w:rsidP="00D67D2A">
      <w:pPr>
        <w:pStyle w:val="ListParagraph"/>
        <w:numPr>
          <w:ilvl w:val="0"/>
          <w:numId w:val="1"/>
        </w:numPr>
        <w:ind w:left="180"/>
        <w:jc w:val="both"/>
        <w:rPr>
          <w:b/>
          <w:bCs/>
          <w:sz w:val="24"/>
          <w:szCs w:val="24"/>
        </w:rPr>
      </w:pPr>
      <w:r w:rsidRPr="00150204">
        <w:rPr>
          <w:b/>
          <w:bCs/>
          <w:sz w:val="24"/>
          <w:szCs w:val="24"/>
        </w:rPr>
        <w:t>Accepting a case</w:t>
      </w:r>
    </w:p>
    <w:p w14:paraId="6D302F2D" w14:textId="619EF733" w:rsidR="00CD3FCD" w:rsidRPr="00150204" w:rsidRDefault="00CD3FCD" w:rsidP="00D67D2A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 w:rsidRPr="00150204">
        <w:rPr>
          <w:sz w:val="24"/>
          <w:szCs w:val="24"/>
        </w:rPr>
        <w:t xml:space="preserve">Acceptance of jurisdiction </w:t>
      </w:r>
      <w:r w:rsidR="00264E7E" w:rsidRPr="00150204">
        <w:rPr>
          <w:sz w:val="24"/>
          <w:szCs w:val="24"/>
        </w:rPr>
        <w:t>indicates that</w:t>
      </w:r>
      <w:r w:rsidRPr="00150204">
        <w:rPr>
          <w:sz w:val="24"/>
          <w:szCs w:val="24"/>
        </w:rPr>
        <w:t xml:space="preserve"> the ACCO </w:t>
      </w:r>
      <w:r w:rsidR="00264E7E" w:rsidRPr="00150204">
        <w:rPr>
          <w:sz w:val="24"/>
          <w:szCs w:val="24"/>
        </w:rPr>
        <w:t>will assume</w:t>
      </w:r>
      <w:r w:rsidRPr="00150204">
        <w:rPr>
          <w:sz w:val="24"/>
          <w:szCs w:val="24"/>
        </w:rPr>
        <w:t xml:space="preserve"> responsibility for signing the </w:t>
      </w:r>
      <w:r w:rsidR="00264E7E" w:rsidRPr="00150204">
        <w:rPr>
          <w:sz w:val="24"/>
          <w:szCs w:val="24"/>
        </w:rPr>
        <w:t>d</w:t>
      </w:r>
      <w:r w:rsidRPr="00150204">
        <w:rPr>
          <w:sz w:val="24"/>
          <w:szCs w:val="24"/>
        </w:rPr>
        <w:t xml:space="preserve">eath </w:t>
      </w:r>
      <w:r w:rsidR="00264E7E" w:rsidRPr="00150204">
        <w:rPr>
          <w:sz w:val="24"/>
          <w:szCs w:val="24"/>
        </w:rPr>
        <w:t>c</w:t>
      </w:r>
      <w:r w:rsidRPr="00150204">
        <w:rPr>
          <w:sz w:val="24"/>
          <w:szCs w:val="24"/>
        </w:rPr>
        <w:t>ertificate.</w:t>
      </w:r>
    </w:p>
    <w:p w14:paraId="10EF3A20" w14:textId="51764260" w:rsidR="00CD3FCD" w:rsidRPr="00150204" w:rsidRDefault="00CD3FCD" w:rsidP="00D67D2A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 w:rsidRPr="00150204">
        <w:rPr>
          <w:sz w:val="24"/>
          <w:szCs w:val="24"/>
        </w:rPr>
        <w:t>The Investigator may leave the jurisdiction decision as Pending until case circumstances are reviewed by a forensic pathologist.</w:t>
      </w:r>
    </w:p>
    <w:p w14:paraId="40DD385D" w14:textId="650AA8ED" w:rsidR="007F4640" w:rsidRPr="00150204" w:rsidRDefault="007F4640" w:rsidP="00D67D2A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 w:rsidRPr="00150204">
        <w:rPr>
          <w:sz w:val="24"/>
          <w:szCs w:val="24"/>
        </w:rPr>
        <w:t>Questions regarding jurisdiction shall be directed to the Investigation Supervisor and/or on-call Senior Deputy.</w:t>
      </w:r>
    </w:p>
    <w:p w14:paraId="4ABAA915" w14:textId="30C74888" w:rsidR="00D67E6B" w:rsidRDefault="00D67E6B" w:rsidP="00D67D2A">
      <w:pPr>
        <w:pStyle w:val="ListParagraph"/>
        <w:numPr>
          <w:ilvl w:val="0"/>
          <w:numId w:val="1"/>
        </w:numPr>
        <w:ind w:left="180"/>
        <w:jc w:val="both"/>
        <w:rPr>
          <w:b/>
          <w:bCs/>
          <w:sz w:val="24"/>
          <w:szCs w:val="24"/>
        </w:rPr>
      </w:pPr>
      <w:r w:rsidRPr="00D67E6B">
        <w:rPr>
          <w:b/>
          <w:bCs/>
          <w:sz w:val="24"/>
          <w:szCs w:val="24"/>
        </w:rPr>
        <w:t>Declining a case</w:t>
      </w:r>
    </w:p>
    <w:p w14:paraId="68366065" w14:textId="7F09B784" w:rsidR="00CD3FCD" w:rsidRDefault="00CD3FCD" w:rsidP="00D67D2A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 w:rsidRPr="00CD3FCD">
        <w:rPr>
          <w:sz w:val="24"/>
          <w:szCs w:val="24"/>
        </w:rPr>
        <w:t xml:space="preserve">Declining jurisdiction </w:t>
      </w:r>
      <w:r w:rsidR="00264E7E">
        <w:rPr>
          <w:sz w:val="24"/>
          <w:szCs w:val="24"/>
        </w:rPr>
        <w:t>indicates that</w:t>
      </w:r>
      <w:r w:rsidRPr="00CD3FCD">
        <w:rPr>
          <w:sz w:val="24"/>
          <w:szCs w:val="24"/>
        </w:rPr>
        <w:t xml:space="preserve"> the attending physician will assume responsibility for signing the </w:t>
      </w:r>
      <w:r w:rsidR="00264E7E">
        <w:rPr>
          <w:sz w:val="24"/>
          <w:szCs w:val="24"/>
        </w:rPr>
        <w:t>d</w:t>
      </w:r>
      <w:r w:rsidRPr="00CD3FCD">
        <w:rPr>
          <w:sz w:val="24"/>
          <w:szCs w:val="24"/>
        </w:rPr>
        <w:t xml:space="preserve">eath </w:t>
      </w:r>
      <w:r w:rsidR="00264E7E">
        <w:rPr>
          <w:sz w:val="24"/>
          <w:szCs w:val="24"/>
        </w:rPr>
        <w:t>c</w:t>
      </w:r>
      <w:r w:rsidRPr="00CD3FCD">
        <w:rPr>
          <w:sz w:val="24"/>
          <w:szCs w:val="24"/>
        </w:rPr>
        <w:t>ertificate.</w:t>
      </w:r>
    </w:p>
    <w:p w14:paraId="6C7E5E7D" w14:textId="23BFF7F9" w:rsidR="00CD3FCD" w:rsidRDefault="00CD3FCD" w:rsidP="00D67D2A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A case may be decline</w:t>
      </w:r>
      <w:r w:rsidR="00ED5A1E">
        <w:rPr>
          <w:sz w:val="24"/>
          <w:szCs w:val="24"/>
        </w:rPr>
        <w:t>d</w:t>
      </w:r>
      <w:r>
        <w:rPr>
          <w:sz w:val="24"/>
          <w:szCs w:val="24"/>
        </w:rPr>
        <w:t xml:space="preserve"> when the cause and manner of death are established to a reasonable degree of medical certainty through investigation, consultation, </w:t>
      </w:r>
      <w:r w:rsidR="00264E7E">
        <w:rPr>
          <w:sz w:val="24"/>
          <w:szCs w:val="24"/>
        </w:rPr>
        <w:t>and/</w:t>
      </w:r>
      <w:r>
        <w:rPr>
          <w:sz w:val="24"/>
          <w:szCs w:val="24"/>
        </w:rPr>
        <w:t>or history review, thus negating the necessity for a postmortem examination.</w:t>
      </w:r>
    </w:p>
    <w:p w14:paraId="1E2632CC" w14:textId="135E56B2" w:rsidR="00CD3FCD" w:rsidRDefault="00CD3FCD" w:rsidP="00D67D2A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Declining jurisdiction from the scene</w:t>
      </w:r>
      <w:r w:rsidR="00E52308">
        <w:rPr>
          <w:sz w:val="24"/>
          <w:szCs w:val="24"/>
        </w:rPr>
        <w:t>:</w:t>
      </w:r>
    </w:p>
    <w:p w14:paraId="7FDF5137" w14:textId="2F0817BA" w:rsidR="00CD3FCD" w:rsidRPr="00992C6B" w:rsidRDefault="00CD3FCD" w:rsidP="00D67D2A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</w:rPr>
      </w:pPr>
      <w:r w:rsidRPr="00992C6B">
        <w:rPr>
          <w:sz w:val="24"/>
          <w:szCs w:val="24"/>
        </w:rPr>
        <w:t>Should the</w:t>
      </w:r>
      <w:r w:rsidR="00264E7E" w:rsidRPr="00992C6B">
        <w:rPr>
          <w:sz w:val="24"/>
          <w:szCs w:val="24"/>
        </w:rPr>
        <w:t xml:space="preserve"> scene</w:t>
      </w:r>
      <w:r w:rsidRPr="00992C6B">
        <w:rPr>
          <w:sz w:val="24"/>
          <w:szCs w:val="24"/>
        </w:rPr>
        <w:t xml:space="preserve"> </w:t>
      </w:r>
      <w:bookmarkStart w:id="0" w:name="_Hlk153357830"/>
      <w:r w:rsidRPr="00992C6B">
        <w:rPr>
          <w:sz w:val="24"/>
          <w:szCs w:val="24"/>
        </w:rPr>
        <w:t>investigation reveal that the death does not come under the jurisdiction of the ACCO</w:t>
      </w:r>
      <w:r w:rsidR="00992C6B" w:rsidRPr="00992C6B">
        <w:rPr>
          <w:sz w:val="24"/>
          <w:szCs w:val="24"/>
        </w:rPr>
        <w:t>,</w:t>
      </w:r>
      <w:r w:rsidR="00DB3C37" w:rsidRPr="00992C6B">
        <w:rPr>
          <w:sz w:val="24"/>
          <w:szCs w:val="24"/>
        </w:rPr>
        <w:t xml:space="preserve"> the decedent is positively identified,</w:t>
      </w:r>
      <w:r w:rsidR="00992C6B" w:rsidRPr="00992C6B">
        <w:rPr>
          <w:sz w:val="24"/>
          <w:szCs w:val="24"/>
        </w:rPr>
        <w:t xml:space="preserve"> legal next of kin/personal representative has been notified,</w:t>
      </w:r>
      <w:r w:rsidR="00DB3C37" w:rsidRPr="00992C6B">
        <w:rPr>
          <w:sz w:val="24"/>
          <w:szCs w:val="24"/>
        </w:rPr>
        <w:t xml:space="preserve"> and there is a physician who is able to provide medical history and will certify the death</w:t>
      </w:r>
      <w:r w:rsidR="00992C6B" w:rsidRPr="00992C6B">
        <w:rPr>
          <w:sz w:val="24"/>
          <w:szCs w:val="24"/>
        </w:rPr>
        <w:t>.</w:t>
      </w:r>
      <w:bookmarkEnd w:id="0"/>
    </w:p>
    <w:p w14:paraId="7F934D0A" w14:textId="28618014" w:rsidR="00EE196D" w:rsidRDefault="00253C41" w:rsidP="00D67D2A">
      <w:pPr>
        <w:pStyle w:val="ListParagraph"/>
        <w:numPr>
          <w:ilvl w:val="0"/>
          <w:numId w:val="1"/>
        </w:numPr>
        <w:ind w:left="18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Other</w:t>
      </w:r>
      <w:r w:rsidR="00EE196D">
        <w:rPr>
          <w:b/>
          <w:bCs/>
          <w:sz w:val="24"/>
          <w:szCs w:val="24"/>
        </w:rPr>
        <w:t xml:space="preserve"> Circumstances</w:t>
      </w:r>
    </w:p>
    <w:p w14:paraId="3448091C" w14:textId="393C2777" w:rsidR="00EE196D" w:rsidRDefault="0083082C" w:rsidP="00D67D2A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Notification Through </w:t>
      </w:r>
      <w:r w:rsidR="00EE196D" w:rsidRPr="00EE196D">
        <w:rPr>
          <w:sz w:val="24"/>
          <w:szCs w:val="24"/>
        </w:rPr>
        <w:t xml:space="preserve">Incorrect Death Certification </w:t>
      </w:r>
    </w:p>
    <w:p w14:paraId="4DB12EDF" w14:textId="3EC9962C" w:rsidR="00EE196D" w:rsidRDefault="00253C41" w:rsidP="00D67D2A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>Death</w:t>
      </w:r>
      <w:r w:rsidR="0083082C">
        <w:rPr>
          <w:sz w:val="24"/>
          <w:szCs w:val="24"/>
        </w:rPr>
        <w:t xml:space="preserve"> notification through</w:t>
      </w:r>
      <w:r w:rsidR="00EE196D">
        <w:rPr>
          <w:sz w:val="24"/>
          <w:szCs w:val="24"/>
        </w:rPr>
        <w:t xml:space="preserve"> Incorrect Death Certification occurs when the notification of a</w:t>
      </w:r>
      <w:r>
        <w:rPr>
          <w:sz w:val="24"/>
          <w:szCs w:val="24"/>
        </w:rPr>
        <w:t>n ACCO</w:t>
      </w:r>
      <w:r w:rsidR="00EE196D">
        <w:rPr>
          <w:sz w:val="24"/>
          <w:szCs w:val="24"/>
        </w:rPr>
        <w:t xml:space="preserve"> jurisdictional death has been </w:t>
      </w:r>
      <w:r>
        <w:rPr>
          <w:sz w:val="24"/>
          <w:szCs w:val="24"/>
        </w:rPr>
        <w:t>discovered</w:t>
      </w:r>
      <w:r w:rsidR="00EE196D">
        <w:rPr>
          <w:sz w:val="24"/>
          <w:szCs w:val="24"/>
        </w:rPr>
        <w:t xml:space="preserve"> upon review of a cremation authorization</w:t>
      </w:r>
      <w:r>
        <w:rPr>
          <w:sz w:val="24"/>
          <w:szCs w:val="24"/>
        </w:rPr>
        <w:t>,</w:t>
      </w:r>
      <w:r w:rsidR="00EE196D">
        <w:rPr>
          <w:sz w:val="24"/>
          <w:szCs w:val="24"/>
        </w:rPr>
        <w:t xml:space="preserve"> and discovery of a physician certification/jurisdiction discrepancy. </w:t>
      </w:r>
    </w:p>
    <w:p w14:paraId="7D956F78" w14:textId="74EFA39F" w:rsidR="00EE196D" w:rsidRPr="00EE196D" w:rsidRDefault="00EE196D" w:rsidP="00D67D2A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>The ACCO will assume responsibility for signing the death certificate</w:t>
      </w:r>
      <w:r w:rsidR="0049575C">
        <w:rPr>
          <w:sz w:val="24"/>
          <w:szCs w:val="24"/>
        </w:rPr>
        <w:t xml:space="preserve"> as </w:t>
      </w:r>
      <w:r w:rsidR="0083082C">
        <w:rPr>
          <w:sz w:val="24"/>
          <w:szCs w:val="24"/>
        </w:rPr>
        <w:t>appropriate</w:t>
      </w:r>
      <w:r w:rsidR="0049575C">
        <w:rPr>
          <w:sz w:val="24"/>
          <w:szCs w:val="24"/>
        </w:rPr>
        <w:t>.</w:t>
      </w:r>
    </w:p>
    <w:p w14:paraId="139B4931" w14:textId="68065755" w:rsidR="007A0B0E" w:rsidRDefault="007A0B0E" w:rsidP="00D67D2A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 w:rsidRPr="00EE196D">
        <w:rPr>
          <w:sz w:val="24"/>
          <w:szCs w:val="24"/>
        </w:rPr>
        <w:t>Backwards Cases</w:t>
      </w:r>
    </w:p>
    <w:p w14:paraId="5651334A" w14:textId="2F3E2A65" w:rsidR="0049575C" w:rsidRDefault="0049575C" w:rsidP="00D67D2A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>A Backwards Case indicates the ACCO was not immediately notified of a jurisdictional death occurring.</w:t>
      </w:r>
    </w:p>
    <w:p w14:paraId="7EED304A" w14:textId="2FD68688" w:rsidR="00386F14" w:rsidRDefault="00386F14" w:rsidP="00D67D2A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Upon notification, an Investigator shall notify legal next of kin/personal representative of ACCO </w:t>
      </w:r>
      <w:r w:rsidR="009615C9">
        <w:rPr>
          <w:sz w:val="24"/>
          <w:szCs w:val="24"/>
        </w:rPr>
        <w:t>involvement and</w:t>
      </w:r>
      <w:r w:rsidR="0083082C">
        <w:rPr>
          <w:sz w:val="24"/>
          <w:szCs w:val="24"/>
        </w:rPr>
        <w:t xml:space="preserve"> ensure</w:t>
      </w:r>
      <w:r w:rsidR="009615C9">
        <w:rPr>
          <w:sz w:val="24"/>
          <w:szCs w:val="24"/>
        </w:rPr>
        <w:t xml:space="preserve"> the</w:t>
      </w:r>
      <w:r w:rsidR="0083082C">
        <w:rPr>
          <w:sz w:val="24"/>
          <w:szCs w:val="24"/>
        </w:rPr>
        <w:t xml:space="preserve"> notification of death to the appropriate law enforcement agency.</w:t>
      </w:r>
    </w:p>
    <w:p w14:paraId="5B824659" w14:textId="385751EE" w:rsidR="003A4C3E" w:rsidRPr="00253C41" w:rsidRDefault="00012A6B" w:rsidP="00D67D2A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death investigation may be subject to </w:t>
      </w:r>
      <w:r w:rsidR="00386F14">
        <w:rPr>
          <w:sz w:val="24"/>
          <w:szCs w:val="24"/>
        </w:rPr>
        <w:t>complications</w:t>
      </w:r>
      <w:r>
        <w:rPr>
          <w:sz w:val="24"/>
          <w:szCs w:val="24"/>
        </w:rPr>
        <w:t xml:space="preserve"> relating to the time delay in notification.</w:t>
      </w:r>
    </w:p>
    <w:sectPr w:rsidR="003A4C3E" w:rsidRPr="00253C41" w:rsidSect="00A20984"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CEE30" w14:textId="77777777" w:rsidR="00211AA0" w:rsidRDefault="00211AA0" w:rsidP="00A20984">
      <w:pPr>
        <w:spacing w:after="0" w:line="240" w:lineRule="auto"/>
      </w:pPr>
      <w:r>
        <w:separator/>
      </w:r>
    </w:p>
  </w:endnote>
  <w:endnote w:type="continuationSeparator" w:id="0">
    <w:p w14:paraId="7E8BEEF8" w14:textId="77777777" w:rsidR="00211AA0" w:rsidRDefault="00211AA0" w:rsidP="00A20984">
      <w:pPr>
        <w:spacing w:after="0" w:line="240" w:lineRule="auto"/>
      </w:pPr>
      <w:r>
        <w:continuationSeparator/>
      </w:r>
    </w:p>
  </w:endnote>
  <w:endnote w:type="continuationNotice" w:id="1">
    <w:p w14:paraId="3CF1CBEE" w14:textId="77777777" w:rsidR="001173C7" w:rsidRDefault="001173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5F4A3" w14:textId="696C1ECB" w:rsidR="00A20984" w:rsidRPr="00A20984" w:rsidRDefault="002A7C14" w:rsidP="00A20984">
    <w:pPr>
      <w:pStyle w:val="Footer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\* FirstCap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Notification, Acceptance, and Declining of a Case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 w:rsidR="00A20984" w:rsidRPr="00A20984">
      <w:rPr>
        <w:sz w:val="16"/>
        <w:szCs w:val="16"/>
      </w:rPr>
      <w:t xml:space="preserve">Page </w:t>
    </w:r>
    <w:r w:rsidR="00A20984" w:rsidRPr="00A20984">
      <w:rPr>
        <w:sz w:val="16"/>
        <w:szCs w:val="16"/>
      </w:rPr>
      <w:fldChar w:fldCharType="begin"/>
    </w:r>
    <w:r w:rsidR="00A20984" w:rsidRPr="00A20984">
      <w:rPr>
        <w:sz w:val="16"/>
        <w:szCs w:val="16"/>
      </w:rPr>
      <w:instrText xml:space="preserve"> PAGE  \* Arabic  \* MERGEFORMAT </w:instrText>
    </w:r>
    <w:r w:rsidR="00A20984" w:rsidRPr="00A20984">
      <w:rPr>
        <w:sz w:val="16"/>
        <w:szCs w:val="16"/>
      </w:rPr>
      <w:fldChar w:fldCharType="separate"/>
    </w:r>
    <w:r w:rsidR="00A20984" w:rsidRPr="00A20984">
      <w:rPr>
        <w:noProof/>
        <w:sz w:val="16"/>
        <w:szCs w:val="16"/>
      </w:rPr>
      <w:t>1</w:t>
    </w:r>
    <w:r w:rsidR="00A20984" w:rsidRPr="00A20984">
      <w:rPr>
        <w:sz w:val="16"/>
        <w:szCs w:val="16"/>
      </w:rPr>
      <w:fldChar w:fldCharType="end"/>
    </w:r>
    <w:r w:rsidR="00A20984" w:rsidRPr="00A20984">
      <w:rPr>
        <w:sz w:val="16"/>
        <w:szCs w:val="16"/>
      </w:rPr>
      <w:t xml:space="preserve"> of </w:t>
    </w:r>
    <w:r w:rsidR="00A20984" w:rsidRPr="00A20984">
      <w:rPr>
        <w:sz w:val="16"/>
        <w:szCs w:val="16"/>
      </w:rPr>
      <w:fldChar w:fldCharType="begin"/>
    </w:r>
    <w:r w:rsidR="00A20984" w:rsidRPr="00A20984">
      <w:rPr>
        <w:sz w:val="16"/>
        <w:szCs w:val="16"/>
      </w:rPr>
      <w:instrText xml:space="preserve"> NUMPAGES  \* Arabic  \* MERGEFORMAT </w:instrText>
    </w:r>
    <w:r w:rsidR="00A20984" w:rsidRPr="00A20984">
      <w:rPr>
        <w:sz w:val="16"/>
        <w:szCs w:val="16"/>
      </w:rPr>
      <w:fldChar w:fldCharType="separate"/>
    </w:r>
    <w:r w:rsidR="00A20984" w:rsidRPr="00A20984">
      <w:rPr>
        <w:noProof/>
        <w:sz w:val="16"/>
        <w:szCs w:val="16"/>
      </w:rPr>
      <w:t>2</w:t>
    </w:r>
    <w:r w:rsidR="00A20984" w:rsidRPr="00A20984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F738C" w14:textId="77777777" w:rsidR="00211AA0" w:rsidRDefault="00211AA0" w:rsidP="00A20984">
      <w:pPr>
        <w:spacing w:after="0" w:line="240" w:lineRule="auto"/>
      </w:pPr>
      <w:r>
        <w:separator/>
      </w:r>
    </w:p>
  </w:footnote>
  <w:footnote w:type="continuationSeparator" w:id="0">
    <w:p w14:paraId="44A250DF" w14:textId="77777777" w:rsidR="00211AA0" w:rsidRDefault="00211AA0" w:rsidP="00A20984">
      <w:pPr>
        <w:spacing w:after="0" w:line="240" w:lineRule="auto"/>
      </w:pPr>
      <w:r>
        <w:continuationSeparator/>
      </w:r>
    </w:p>
  </w:footnote>
  <w:footnote w:type="continuationNotice" w:id="1">
    <w:p w14:paraId="1543132E" w14:textId="77777777" w:rsidR="001173C7" w:rsidRDefault="001173C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27FDC"/>
    <w:multiLevelType w:val="hybridMultilevel"/>
    <w:tmpl w:val="60CE3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C16EB3"/>
    <w:multiLevelType w:val="hybridMultilevel"/>
    <w:tmpl w:val="59C08908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800" w:hanging="36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 w16cid:durableId="1045913093">
    <w:abstractNumId w:val="0"/>
  </w:num>
  <w:num w:numId="2" w16cid:durableId="929000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8B"/>
    <w:rsid w:val="000020E5"/>
    <w:rsid w:val="00012A6B"/>
    <w:rsid w:val="0004302E"/>
    <w:rsid w:val="0004706F"/>
    <w:rsid w:val="00077104"/>
    <w:rsid w:val="000F4932"/>
    <w:rsid w:val="000F6137"/>
    <w:rsid w:val="001173C7"/>
    <w:rsid w:val="001412B6"/>
    <w:rsid w:val="00150204"/>
    <w:rsid w:val="00186465"/>
    <w:rsid w:val="001A707C"/>
    <w:rsid w:val="001B48F2"/>
    <w:rsid w:val="001D7CB1"/>
    <w:rsid w:val="00211AA0"/>
    <w:rsid w:val="00253C41"/>
    <w:rsid w:val="00264E7E"/>
    <w:rsid w:val="00265535"/>
    <w:rsid w:val="002A7C14"/>
    <w:rsid w:val="002C30C9"/>
    <w:rsid w:val="002C4FB3"/>
    <w:rsid w:val="002F5EAB"/>
    <w:rsid w:val="00300A89"/>
    <w:rsid w:val="00312173"/>
    <w:rsid w:val="0038128E"/>
    <w:rsid w:val="00386F14"/>
    <w:rsid w:val="003A3F8A"/>
    <w:rsid w:val="003A4777"/>
    <w:rsid w:val="003A4C3E"/>
    <w:rsid w:val="003C6458"/>
    <w:rsid w:val="003F6C98"/>
    <w:rsid w:val="00435C83"/>
    <w:rsid w:val="00474DF3"/>
    <w:rsid w:val="00477DC1"/>
    <w:rsid w:val="0049575C"/>
    <w:rsid w:val="004A3DA8"/>
    <w:rsid w:val="00554A5A"/>
    <w:rsid w:val="00562C94"/>
    <w:rsid w:val="00566A45"/>
    <w:rsid w:val="005D0EBE"/>
    <w:rsid w:val="005D47E8"/>
    <w:rsid w:val="00606757"/>
    <w:rsid w:val="0064203A"/>
    <w:rsid w:val="00694765"/>
    <w:rsid w:val="006B0E51"/>
    <w:rsid w:val="006D6FA6"/>
    <w:rsid w:val="006E0E63"/>
    <w:rsid w:val="006E45C1"/>
    <w:rsid w:val="006F128D"/>
    <w:rsid w:val="006F1FD3"/>
    <w:rsid w:val="00790A4E"/>
    <w:rsid w:val="00793FF1"/>
    <w:rsid w:val="007A0B0E"/>
    <w:rsid w:val="007F4640"/>
    <w:rsid w:val="0083082C"/>
    <w:rsid w:val="0084153D"/>
    <w:rsid w:val="008845EF"/>
    <w:rsid w:val="00885993"/>
    <w:rsid w:val="00895C0E"/>
    <w:rsid w:val="008C09FA"/>
    <w:rsid w:val="008C4BB3"/>
    <w:rsid w:val="008D7040"/>
    <w:rsid w:val="00945ACD"/>
    <w:rsid w:val="009615C9"/>
    <w:rsid w:val="00992C6B"/>
    <w:rsid w:val="009B25C7"/>
    <w:rsid w:val="009D3A67"/>
    <w:rsid w:val="00A1228C"/>
    <w:rsid w:val="00A20984"/>
    <w:rsid w:val="00A35EAC"/>
    <w:rsid w:val="00A411BA"/>
    <w:rsid w:val="00A45675"/>
    <w:rsid w:val="00AA5EF8"/>
    <w:rsid w:val="00AB318B"/>
    <w:rsid w:val="00AE3754"/>
    <w:rsid w:val="00AF6910"/>
    <w:rsid w:val="00B27B40"/>
    <w:rsid w:val="00BA0862"/>
    <w:rsid w:val="00C37C92"/>
    <w:rsid w:val="00C96D04"/>
    <w:rsid w:val="00CD3FCD"/>
    <w:rsid w:val="00D67D2A"/>
    <w:rsid w:val="00D67E6B"/>
    <w:rsid w:val="00DB3C37"/>
    <w:rsid w:val="00DB571E"/>
    <w:rsid w:val="00DF3FF8"/>
    <w:rsid w:val="00E52308"/>
    <w:rsid w:val="00E5679C"/>
    <w:rsid w:val="00EC71D4"/>
    <w:rsid w:val="00ED5A1E"/>
    <w:rsid w:val="00EE196D"/>
    <w:rsid w:val="00F059F0"/>
    <w:rsid w:val="00F235D6"/>
    <w:rsid w:val="00F2378B"/>
    <w:rsid w:val="00F24170"/>
    <w:rsid w:val="00F26E0A"/>
    <w:rsid w:val="00F8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646254"/>
  <w15:chartTrackingRefBased/>
  <w15:docId w15:val="{F1C1CA8C-2BBE-4BF2-A976-6FD6E2C8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4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09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0984"/>
  </w:style>
  <w:style w:type="paragraph" w:styleId="Footer">
    <w:name w:val="footer"/>
    <w:basedOn w:val="Normal"/>
    <w:link w:val="FooterChar"/>
    <w:uiPriority w:val="99"/>
    <w:unhideWhenUsed/>
    <w:rsid w:val="00A209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09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E36260-3BAD-42FB-8EAF-2F0541EA8B1E}">
  <ds:schemaRefs>
    <ds:schemaRef ds:uri="8ef27eb8-0e3d-496f-b523-771757bdd770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8416942f-d982-4ba4-a5b0-104826b4be24"/>
  </ds:schemaRefs>
</ds:datastoreItem>
</file>

<file path=customXml/itemProps2.xml><?xml version="1.0" encoding="utf-8"?>
<ds:datastoreItem xmlns:ds="http://schemas.openxmlformats.org/officeDocument/2006/customXml" ds:itemID="{8FE4E5B8-47AD-4B35-AAE1-73B5F27CBE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1B8CDC-B3E3-4105-85AD-F8698628C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 County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Macdonald</dc:creator>
  <cp:keywords/>
  <dc:description/>
  <cp:lastModifiedBy>Rich Riffle</cp:lastModifiedBy>
  <cp:revision>2</cp:revision>
  <cp:lastPrinted>2023-11-10T17:14:00Z</cp:lastPrinted>
  <dcterms:created xsi:type="dcterms:W3CDTF">2025-05-21T11:53:00Z</dcterms:created>
  <dcterms:modified xsi:type="dcterms:W3CDTF">2025-05-21T11:53:00Z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82e4920ea133e8d4bd88b3b7c4473e238aea457f12f6da43ad83d5f1fa50b1ff</vt:lpwstr>
  </property>
  <property fmtid="{D5CDD505-2E9C-101B-9397-08002B2CF9AE}" pid="3" name="ContentTypeId">
    <vt:lpwstr>0x0101002FE5814883B49940B4B8AAE202A6E984</vt:lpwstr>
  </property>
</Properties>
</file>