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540" w:tblpY="1141"/>
        <w:tblW w:w="10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3"/>
        <w:gridCol w:w="1137"/>
        <w:gridCol w:w="2995"/>
        <w:gridCol w:w="1698"/>
        <w:gridCol w:w="722"/>
        <w:gridCol w:w="630"/>
        <w:gridCol w:w="1560"/>
      </w:tblGrid>
      <w:tr w:rsidR="004A3DA8" w14:paraId="33FC8A2A" w14:textId="77777777" w:rsidTr="00186465">
        <w:trPr>
          <w:trHeight w:val="576"/>
        </w:trPr>
        <w:tc>
          <w:tcPr>
            <w:tcW w:w="1653" w:type="dxa"/>
            <w:vMerge w:val="restart"/>
            <w:tcBorders>
              <w:top w:val="nil"/>
              <w:left w:val="nil"/>
              <w:right w:val="nil"/>
            </w:tcBorders>
          </w:tcPr>
          <w:p w14:paraId="7733C63F" w14:textId="0D3AAD8F" w:rsidR="00435C83" w:rsidRDefault="00435C83" w:rsidP="00186465"/>
        </w:tc>
        <w:tc>
          <w:tcPr>
            <w:tcW w:w="1137" w:type="dxa"/>
            <w:tcBorders>
              <w:top w:val="single" w:sz="12" w:space="0" w:color="auto"/>
              <w:left w:val="nil"/>
            </w:tcBorders>
            <w:vAlign w:val="center"/>
          </w:tcPr>
          <w:p w14:paraId="18495DE5" w14:textId="21BEEAEE" w:rsidR="00435C83" w:rsidRPr="00C96D04" w:rsidRDefault="00435C83" w:rsidP="00186465">
            <w:pPr>
              <w:jc w:val="center"/>
              <w:rPr>
                <w:rFonts w:cstheme="minorHAnsi"/>
                <w:sz w:val="24"/>
                <w:szCs w:val="24"/>
              </w:rPr>
            </w:pPr>
            <w:r w:rsidRPr="00C96D04">
              <w:rPr>
                <w:rFonts w:cstheme="minorHAnsi"/>
                <w:b/>
                <w:bCs/>
                <w:sz w:val="24"/>
                <w:szCs w:val="24"/>
              </w:rPr>
              <w:t>Title</w:t>
            </w:r>
            <w:r w:rsidRPr="00C96D04">
              <w:rPr>
                <w:rFonts w:cstheme="minorHAnsi"/>
                <w:sz w:val="24"/>
                <w:szCs w:val="24"/>
              </w:rPr>
              <w:t>:</w:t>
            </w:r>
          </w:p>
        </w:tc>
        <w:tc>
          <w:tcPr>
            <w:tcW w:w="4693" w:type="dxa"/>
            <w:gridSpan w:val="2"/>
            <w:tcBorders>
              <w:top w:val="single" w:sz="12" w:space="0" w:color="auto"/>
            </w:tcBorders>
            <w:vAlign w:val="center"/>
          </w:tcPr>
          <w:p w14:paraId="51A3C92C" w14:textId="5A037CCC" w:rsidR="00435C83" w:rsidRPr="00C96D04" w:rsidRDefault="002E7CF2" w:rsidP="00186465">
            <w:pPr>
              <w:jc w:val="center"/>
              <w:rPr>
                <w:rFonts w:cstheme="minorHAnsi"/>
              </w:rPr>
            </w:pPr>
            <w:r>
              <w:rPr>
                <w:rFonts w:cstheme="minorHAnsi"/>
              </w:rPr>
              <w:t>DEATH NOTIFICATION</w:t>
            </w:r>
          </w:p>
        </w:tc>
        <w:tc>
          <w:tcPr>
            <w:tcW w:w="1352" w:type="dxa"/>
            <w:gridSpan w:val="2"/>
            <w:tcBorders>
              <w:top w:val="single" w:sz="12" w:space="0" w:color="auto"/>
            </w:tcBorders>
            <w:vAlign w:val="center"/>
          </w:tcPr>
          <w:p w14:paraId="1369728E" w14:textId="00B7D1AC" w:rsidR="00435C83" w:rsidRPr="00C96D04" w:rsidRDefault="00435C83" w:rsidP="00186465">
            <w:pPr>
              <w:jc w:val="center"/>
              <w:rPr>
                <w:rFonts w:cstheme="minorHAnsi"/>
                <w:sz w:val="24"/>
                <w:szCs w:val="24"/>
              </w:rPr>
            </w:pPr>
            <w:r w:rsidRPr="00C96D04">
              <w:rPr>
                <w:rFonts w:cstheme="minorHAnsi"/>
                <w:b/>
                <w:bCs/>
                <w:sz w:val="24"/>
                <w:szCs w:val="24"/>
              </w:rPr>
              <w:t>Policy #</w:t>
            </w:r>
          </w:p>
        </w:tc>
        <w:tc>
          <w:tcPr>
            <w:tcW w:w="1560" w:type="dxa"/>
            <w:tcBorders>
              <w:top w:val="single" w:sz="12" w:space="0" w:color="auto"/>
              <w:right w:val="single" w:sz="12" w:space="0" w:color="auto"/>
            </w:tcBorders>
            <w:vAlign w:val="center"/>
          </w:tcPr>
          <w:p w14:paraId="291C0BC7" w14:textId="7D0607B3" w:rsidR="00435C83" w:rsidRPr="00C96D04" w:rsidRDefault="00671A00" w:rsidP="00186465">
            <w:pPr>
              <w:jc w:val="center"/>
              <w:rPr>
                <w:rFonts w:cstheme="minorHAnsi"/>
                <w:sz w:val="24"/>
                <w:szCs w:val="24"/>
              </w:rPr>
            </w:pPr>
            <w:r>
              <w:rPr>
                <w:rFonts w:cstheme="minorHAnsi"/>
                <w:sz w:val="24"/>
                <w:szCs w:val="24"/>
              </w:rPr>
              <w:t>I.1.03</w:t>
            </w:r>
          </w:p>
        </w:tc>
      </w:tr>
      <w:tr w:rsidR="00C844A9" w14:paraId="053E9FC0" w14:textId="71F50D38" w:rsidTr="00C8182E">
        <w:trPr>
          <w:trHeight w:val="443"/>
        </w:trPr>
        <w:tc>
          <w:tcPr>
            <w:tcW w:w="1653" w:type="dxa"/>
            <w:vMerge/>
            <w:tcBorders>
              <w:left w:val="nil"/>
              <w:right w:val="nil"/>
            </w:tcBorders>
          </w:tcPr>
          <w:p w14:paraId="7A4D41EC" w14:textId="77777777" w:rsidR="00C844A9" w:rsidRDefault="00C844A9" w:rsidP="00186465"/>
        </w:tc>
        <w:tc>
          <w:tcPr>
            <w:tcW w:w="1137" w:type="dxa"/>
            <w:tcBorders>
              <w:left w:val="nil"/>
            </w:tcBorders>
            <w:vAlign w:val="center"/>
          </w:tcPr>
          <w:p w14:paraId="00E704AE" w14:textId="17FA2DB3" w:rsidR="00C844A9" w:rsidRPr="00C96D04" w:rsidRDefault="00C844A9" w:rsidP="00186465">
            <w:pPr>
              <w:jc w:val="center"/>
              <w:rPr>
                <w:rFonts w:cstheme="minorHAnsi"/>
                <w:sz w:val="24"/>
                <w:szCs w:val="24"/>
              </w:rPr>
            </w:pPr>
            <w:r w:rsidRPr="00C96D04">
              <w:rPr>
                <w:rFonts w:cstheme="minorHAnsi"/>
                <w:b/>
                <w:bCs/>
                <w:sz w:val="24"/>
                <w:szCs w:val="24"/>
              </w:rPr>
              <w:t>Division:</w:t>
            </w:r>
          </w:p>
        </w:tc>
        <w:tc>
          <w:tcPr>
            <w:tcW w:w="4693" w:type="dxa"/>
            <w:gridSpan w:val="2"/>
            <w:vAlign w:val="center"/>
          </w:tcPr>
          <w:p w14:paraId="39AB4A1F" w14:textId="33F44016" w:rsidR="00C844A9" w:rsidRPr="00C96D04" w:rsidRDefault="00C844A9" w:rsidP="00186465">
            <w:pPr>
              <w:jc w:val="center"/>
              <w:rPr>
                <w:rFonts w:cstheme="minorHAnsi"/>
              </w:rPr>
            </w:pPr>
            <w:r>
              <w:rPr>
                <w:rFonts w:cstheme="minorHAnsi"/>
              </w:rPr>
              <w:t>Investigation</w:t>
            </w:r>
          </w:p>
        </w:tc>
        <w:tc>
          <w:tcPr>
            <w:tcW w:w="1352" w:type="dxa"/>
            <w:gridSpan w:val="2"/>
            <w:vAlign w:val="center"/>
          </w:tcPr>
          <w:p w14:paraId="7B4768F7" w14:textId="53EAA651" w:rsidR="00C844A9" w:rsidRPr="00C96D04" w:rsidRDefault="00C844A9" w:rsidP="00186465">
            <w:pPr>
              <w:jc w:val="center"/>
              <w:rPr>
                <w:rFonts w:cstheme="minorHAnsi"/>
                <w:b/>
                <w:bCs/>
                <w:sz w:val="24"/>
                <w:szCs w:val="24"/>
              </w:rPr>
            </w:pPr>
            <w:r w:rsidRPr="00C96D04">
              <w:rPr>
                <w:rFonts w:cstheme="minorHAnsi"/>
                <w:b/>
                <w:bCs/>
                <w:sz w:val="24"/>
                <w:szCs w:val="24"/>
              </w:rPr>
              <w:t>Page:</w:t>
            </w:r>
          </w:p>
        </w:tc>
        <w:tc>
          <w:tcPr>
            <w:tcW w:w="1560" w:type="dxa"/>
            <w:tcBorders>
              <w:right w:val="single" w:sz="12" w:space="0" w:color="auto"/>
            </w:tcBorders>
            <w:vAlign w:val="center"/>
          </w:tcPr>
          <w:p w14:paraId="61090977" w14:textId="08FDB7D6" w:rsidR="00C844A9" w:rsidRPr="00C844A9" w:rsidRDefault="00C844A9" w:rsidP="00C844A9">
            <w:pPr>
              <w:jc w:val="center"/>
              <w:rPr>
                <w:rFonts w:cstheme="minorHAnsi"/>
              </w:rPr>
            </w:pPr>
            <w:r w:rsidRPr="00C844A9">
              <w:rPr>
                <w:rFonts w:cstheme="minorHAnsi"/>
              </w:rPr>
              <w:t xml:space="preserve">Page </w:t>
            </w:r>
            <w:r w:rsidRPr="00C844A9">
              <w:rPr>
                <w:rFonts w:cstheme="minorHAnsi"/>
              </w:rPr>
              <w:fldChar w:fldCharType="begin"/>
            </w:r>
            <w:r w:rsidRPr="00C844A9">
              <w:rPr>
                <w:rFonts w:cstheme="minorHAnsi"/>
              </w:rPr>
              <w:instrText xml:space="preserve"> PAGE  \* Arabic  \* MERGEFORMAT </w:instrText>
            </w:r>
            <w:r w:rsidRPr="00C844A9">
              <w:rPr>
                <w:rFonts w:cstheme="minorHAnsi"/>
              </w:rPr>
              <w:fldChar w:fldCharType="separate"/>
            </w:r>
            <w:r w:rsidRPr="00C844A9">
              <w:rPr>
                <w:rFonts w:cstheme="minorHAnsi"/>
                <w:noProof/>
              </w:rPr>
              <w:t>1</w:t>
            </w:r>
            <w:r w:rsidRPr="00C844A9">
              <w:rPr>
                <w:rFonts w:cstheme="minorHAnsi"/>
              </w:rPr>
              <w:fldChar w:fldCharType="end"/>
            </w:r>
            <w:r w:rsidRPr="00C844A9">
              <w:rPr>
                <w:rFonts w:cstheme="minorHAnsi"/>
              </w:rPr>
              <w:t xml:space="preserve"> of </w:t>
            </w:r>
            <w:r w:rsidRPr="00C844A9">
              <w:rPr>
                <w:rFonts w:cstheme="minorHAnsi"/>
              </w:rPr>
              <w:fldChar w:fldCharType="begin"/>
            </w:r>
            <w:r w:rsidRPr="00C844A9">
              <w:rPr>
                <w:rFonts w:cstheme="minorHAnsi"/>
              </w:rPr>
              <w:instrText xml:space="preserve"> NUMPAGES  \* Arabic  \* MERGEFORMAT </w:instrText>
            </w:r>
            <w:r w:rsidRPr="00C844A9">
              <w:rPr>
                <w:rFonts w:cstheme="minorHAnsi"/>
              </w:rPr>
              <w:fldChar w:fldCharType="separate"/>
            </w:r>
            <w:r w:rsidRPr="00C844A9">
              <w:rPr>
                <w:rFonts w:cstheme="minorHAnsi"/>
                <w:noProof/>
              </w:rPr>
              <w:t>2</w:t>
            </w:r>
            <w:r w:rsidRPr="00C844A9">
              <w:rPr>
                <w:rFonts w:cstheme="minorHAnsi"/>
              </w:rPr>
              <w:fldChar w:fldCharType="end"/>
            </w:r>
          </w:p>
        </w:tc>
      </w:tr>
      <w:tr w:rsidR="00F059F0" w14:paraId="39022FCF" w14:textId="078DB152" w:rsidTr="00F8353E">
        <w:trPr>
          <w:trHeight w:val="668"/>
        </w:trPr>
        <w:tc>
          <w:tcPr>
            <w:tcW w:w="2790" w:type="dxa"/>
            <w:gridSpan w:val="2"/>
            <w:tcBorders>
              <w:left w:val="single" w:sz="12" w:space="0" w:color="auto"/>
            </w:tcBorders>
            <w:vAlign w:val="center"/>
          </w:tcPr>
          <w:p w14:paraId="19C4849A" w14:textId="05B7BFA5" w:rsidR="00F059F0" w:rsidRPr="00C96D04" w:rsidRDefault="00F059F0" w:rsidP="00186465">
            <w:pPr>
              <w:jc w:val="center"/>
              <w:rPr>
                <w:rFonts w:cstheme="minorHAnsi"/>
                <w:b/>
                <w:bCs/>
                <w:sz w:val="24"/>
                <w:szCs w:val="24"/>
              </w:rPr>
            </w:pPr>
            <w:r w:rsidRPr="00C96D04">
              <w:rPr>
                <w:rFonts w:cstheme="minorHAnsi"/>
                <w:b/>
                <w:bCs/>
                <w:sz w:val="24"/>
                <w:szCs w:val="24"/>
              </w:rPr>
              <w:t>Coroner Signature:</w:t>
            </w:r>
          </w:p>
        </w:tc>
        <w:tc>
          <w:tcPr>
            <w:tcW w:w="2995" w:type="dxa"/>
            <w:vAlign w:val="center"/>
          </w:tcPr>
          <w:p w14:paraId="231FC0E5" w14:textId="64BC7CBC" w:rsidR="00F059F0" w:rsidRPr="00C96D04" w:rsidRDefault="00F059F0" w:rsidP="00F8353E">
            <w:pPr>
              <w:jc w:val="center"/>
              <w:rPr>
                <w:rFonts w:cstheme="minorHAnsi"/>
              </w:rPr>
            </w:pPr>
          </w:p>
        </w:tc>
        <w:tc>
          <w:tcPr>
            <w:tcW w:w="2420" w:type="dxa"/>
            <w:gridSpan w:val="2"/>
            <w:tcBorders>
              <w:right w:val="single" w:sz="4" w:space="0" w:color="auto"/>
            </w:tcBorders>
            <w:vAlign w:val="center"/>
          </w:tcPr>
          <w:p w14:paraId="4AFF2383" w14:textId="6123D5A0" w:rsidR="00F059F0" w:rsidRPr="00C96D04" w:rsidRDefault="00F059F0" w:rsidP="00186465">
            <w:pPr>
              <w:jc w:val="center"/>
              <w:rPr>
                <w:rFonts w:cstheme="minorHAnsi"/>
                <w:b/>
                <w:bCs/>
                <w:sz w:val="24"/>
                <w:szCs w:val="24"/>
              </w:rPr>
            </w:pPr>
            <w:r w:rsidRPr="00C96D04">
              <w:rPr>
                <w:rFonts w:cstheme="minorHAnsi"/>
                <w:b/>
                <w:bCs/>
                <w:sz w:val="24"/>
                <w:szCs w:val="24"/>
              </w:rPr>
              <w:t>NAME Reference:</w:t>
            </w:r>
          </w:p>
        </w:tc>
        <w:tc>
          <w:tcPr>
            <w:tcW w:w="2190" w:type="dxa"/>
            <w:gridSpan w:val="2"/>
            <w:tcBorders>
              <w:right w:val="single" w:sz="12" w:space="0" w:color="auto"/>
            </w:tcBorders>
            <w:vAlign w:val="center"/>
          </w:tcPr>
          <w:p w14:paraId="61D8405F" w14:textId="2738298C" w:rsidR="00F059F0" w:rsidRPr="00C96D04" w:rsidRDefault="00AA1213" w:rsidP="00F8353E">
            <w:pPr>
              <w:jc w:val="center"/>
              <w:rPr>
                <w:rFonts w:cstheme="minorHAnsi"/>
              </w:rPr>
            </w:pPr>
            <w:r>
              <w:rPr>
                <w:rFonts w:cstheme="minorHAnsi"/>
              </w:rPr>
              <w:t>B1h,B2a</w:t>
            </w:r>
          </w:p>
        </w:tc>
      </w:tr>
      <w:tr w:rsidR="00F059F0" w:rsidRPr="00054ED8" w14:paraId="699B9FF3" w14:textId="77777777" w:rsidTr="00F8353E">
        <w:trPr>
          <w:trHeight w:val="740"/>
        </w:trPr>
        <w:tc>
          <w:tcPr>
            <w:tcW w:w="2790" w:type="dxa"/>
            <w:gridSpan w:val="2"/>
            <w:tcBorders>
              <w:left w:val="single" w:sz="12" w:space="0" w:color="auto"/>
              <w:bottom w:val="single" w:sz="12" w:space="0" w:color="auto"/>
            </w:tcBorders>
            <w:vAlign w:val="center"/>
          </w:tcPr>
          <w:p w14:paraId="6A3AE111" w14:textId="3757DAD4" w:rsidR="00F059F0" w:rsidRPr="00C96D04" w:rsidRDefault="00F059F0" w:rsidP="00186465">
            <w:pPr>
              <w:jc w:val="center"/>
              <w:rPr>
                <w:rFonts w:cstheme="minorHAnsi"/>
                <w:b/>
                <w:bCs/>
                <w:sz w:val="24"/>
                <w:szCs w:val="24"/>
              </w:rPr>
            </w:pPr>
            <w:r w:rsidRPr="00C96D04">
              <w:rPr>
                <w:rFonts w:cstheme="minorHAnsi"/>
                <w:b/>
                <w:bCs/>
                <w:sz w:val="24"/>
                <w:szCs w:val="24"/>
              </w:rPr>
              <w:t>Approved/Revised Date:</w:t>
            </w:r>
          </w:p>
        </w:tc>
        <w:tc>
          <w:tcPr>
            <w:tcW w:w="2995" w:type="dxa"/>
            <w:tcBorders>
              <w:bottom w:val="single" w:sz="12" w:space="0" w:color="auto"/>
            </w:tcBorders>
            <w:vAlign w:val="center"/>
          </w:tcPr>
          <w:p w14:paraId="7A2C4A96" w14:textId="0A3DAABD" w:rsidR="00F059F0" w:rsidRPr="00C96D04" w:rsidRDefault="00EE4FD0" w:rsidP="00F8353E">
            <w:pPr>
              <w:jc w:val="center"/>
              <w:rPr>
                <w:rFonts w:cstheme="minorHAnsi"/>
                <w:b/>
                <w:bCs/>
                <w:sz w:val="24"/>
                <w:szCs w:val="24"/>
              </w:rPr>
            </w:pPr>
            <w:r>
              <w:rPr>
                <w:noProof/>
                <w:sz w:val="24"/>
                <w:szCs w:val="24"/>
              </w:rPr>
              <w:drawing>
                <wp:anchor distT="0" distB="0" distL="114300" distR="114300" simplePos="0" relativeHeight="251658241" behindDoc="1" locked="0" layoutInCell="1" allowOverlap="1" wp14:anchorId="69970B6E" wp14:editId="62DABB95">
                  <wp:simplePos x="0" y="0"/>
                  <wp:positionH relativeFrom="column">
                    <wp:posOffset>-485775</wp:posOffset>
                  </wp:positionH>
                  <wp:positionV relativeFrom="page">
                    <wp:posOffset>-650240</wp:posOffset>
                  </wp:positionV>
                  <wp:extent cx="2657475" cy="664845"/>
                  <wp:effectExtent l="0" t="0" r="952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664845"/>
                          </a:xfrm>
                          <a:prstGeom prst="rect">
                            <a:avLst/>
                          </a:prstGeom>
                        </pic:spPr>
                      </pic:pic>
                    </a:graphicData>
                  </a:graphic>
                  <wp14:sizeRelH relativeFrom="page">
                    <wp14:pctWidth>0</wp14:pctWidth>
                  </wp14:sizeRelH>
                  <wp14:sizeRelV relativeFrom="page">
                    <wp14:pctHeight>0</wp14:pctHeight>
                  </wp14:sizeRelV>
                </wp:anchor>
              </w:drawing>
            </w:r>
            <w:r w:rsidR="00260F62">
              <w:rPr>
                <w:rFonts w:cstheme="minorHAnsi"/>
                <w:b/>
                <w:bCs/>
                <w:color w:val="0070C0"/>
                <w:sz w:val="24"/>
                <w:szCs w:val="24"/>
              </w:rPr>
              <w:t>v08-2</w:t>
            </w:r>
            <w:r w:rsidR="00CC4EB7">
              <w:rPr>
                <w:rFonts w:cstheme="minorHAnsi"/>
                <w:b/>
                <w:bCs/>
                <w:color w:val="0070C0"/>
                <w:sz w:val="24"/>
                <w:szCs w:val="24"/>
              </w:rPr>
              <w:t>6</w:t>
            </w:r>
            <w:r>
              <w:rPr>
                <w:rFonts w:cstheme="minorHAnsi"/>
                <w:b/>
                <w:bCs/>
                <w:color w:val="0070C0"/>
                <w:sz w:val="24"/>
                <w:szCs w:val="24"/>
              </w:rPr>
              <w:t>-2024</w:t>
            </w:r>
          </w:p>
        </w:tc>
        <w:tc>
          <w:tcPr>
            <w:tcW w:w="2420" w:type="dxa"/>
            <w:gridSpan w:val="2"/>
            <w:tcBorders>
              <w:bottom w:val="single" w:sz="12" w:space="0" w:color="auto"/>
            </w:tcBorders>
            <w:vAlign w:val="center"/>
          </w:tcPr>
          <w:p w14:paraId="4F59EF38" w14:textId="05561340" w:rsidR="00F059F0" w:rsidRPr="00C96D04" w:rsidRDefault="00F059F0" w:rsidP="00186465">
            <w:pPr>
              <w:jc w:val="center"/>
              <w:rPr>
                <w:rFonts w:cstheme="minorHAnsi"/>
                <w:b/>
                <w:bCs/>
                <w:sz w:val="24"/>
                <w:szCs w:val="24"/>
              </w:rPr>
            </w:pPr>
            <w:r w:rsidRPr="00C96D04">
              <w:rPr>
                <w:rFonts w:cstheme="minorHAnsi"/>
                <w:b/>
                <w:bCs/>
                <w:sz w:val="24"/>
                <w:szCs w:val="24"/>
              </w:rPr>
              <w:t>IACME Reference:</w:t>
            </w:r>
          </w:p>
        </w:tc>
        <w:tc>
          <w:tcPr>
            <w:tcW w:w="2190" w:type="dxa"/>
            <w:gridSpan w:val="2"/>
            <w:tcBorders>
              <w:bottom w:val="single" w:sz="12" w:space="0" w:color="auto"/>
              <w:right w:val="single" w:sz="12" w:space="0" w:color="auto"/>
            </w:tcBorders>
            <w:vAlign w:val="center"/>
          </w:tcPr>
          <w:p w14:paraId="16CA4A93" w14:textId="7355D9CE" w:rsidR="00F059F0" w:rsidRPr="00054ED8" w:rsidRDefault="00A83C7C" w:rsidP="00F8353E">
            <w:pPr>
              <w:jc w:val="center"/>
              <w:rPr>
                <w:rFonts w:cstheme="minorHAnsi"/>
                <w:highlight w:val="yellow"/>
              </w:rPr>
            </w:pPr>
            <w:r w:rsidRPr="0097196B">
              <w:rPr>
                <w:rFonts w:cstheme="minorHAnsi"/>
              </w:rPr>
              <w:t>A8</w:t>
            </w:r>
            <w:r w:rsidR="00E42BDA" w:rsidRPr="0097196B">
              <w:rPr>
                <w:rFonts w:cstheme="minorHAnsi"/>
              </w:rPr>
              <w:t>f</w:t>
            </w:r>
            <w:r w:rsidRPr="0097196B">
              <w:rPr>
                <w:rFonts w:cstheme="minorHAnsi"/>
              </w:rPr>
              <w:t>,</w:t>
            </w:r>
            <w:r w:rsidR="0049089F" w:rsidRPr="0097196B">
              <w:rPr>
                <w:rFonts w:cstheme="minorHAnsi"/>
              </w:rPr>
              <w:t>B1u,</w:t>
            </w:r>
            <w:r w:rsidR="009814AB" w:rsidRPr="0097196B">
              <w:rPr>
                <w:rFonts w:cstheme="minorHAnsi"/>
              </w:rPr>
              <w:t>B3</w:t>
            </w:r>
            <w:r w:rsidR="00E42BDA" w:rsidRPr="0097196B">
              <w:rPr>
                <w:rFonts w:cstheme="minorHAnsi"/>
              </w:rPr>
              <w:t>i</w:t>
            </w:r>
          </w:p>
        </w:tc>
      </w:tr>
    </w:tbl>
    <w:p w14:paraId="0B118C5D" w14:textId="1F210FA2" w:rsidR="00186465" w:rsidRDefault="004A3DA8">
      <w:r>
        <w:rPr>
          <w:noProof/>
        </w:rPr>
        <w:drawing>
          <wp:anchor distT="0" distB="0" distL="114300" distR="114300" simplePos="0" relativeHeight="251658240" behindDoc="0" locked="0" layoutInCell="1" allowOverlap="1" wp14:anchorId="29AB3DE7" wp14:editId="41D05D79">
            <wp:simplePos x="0" y="0"/>
            <wp:positionH relativeFrom="column">
              <wp:posOffset>-333375</wp:posOffset>
            </wp:positionH>
            <wp:positionV relativeFrom="paragraph">
              <wp:posOffset>-352425</wp:posOffset>
            </wp:positionV>
            <wp:extent cx="923925" cy="923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57E527" w14:textId="36BE20C7" w:rsidR="00186465" w:rsidRDefault="00186465"/>
    <w:p w14:paraId="44AC4181" w14:textId="03BB2885" w:rsidR="00186465" w:rsidRDefault="00186465" w:rsidP="00186465">
      <w:pPr>
        <w:spacing w:before="161" w:line="276" w:lineRule="auto"/>
        <w:ind w:left="-540" w:right="144"/>
        <w:jc w:val="both"/>
        <w:textAlignment w:val="baseline"/>
        <w:rPr>
          <w:rFonts w:eastAsia="Times New Roman" w:cstheme="minorHAnsi"/>
          <w:color w:val="000000"/>
          <w:sz w:val="24"/>
          <w:szCs w:val="24"/>
        </w:rPr>
      </w:pPr>
      <w:r w:rsidRPr="00186465">
        <w:rPr>
          <w:rFonts w:eastAsia="Times New Roman" w:cstheme="minorHAnsi"/>
          <w:b/>
          <w:bCs/>
          <w:color w:val="000000"/>
          <w:sz w:val="24"/>
          <w:szCs w:val="24"/>
          <w:u w:val="single"/>
        </w:rPr>
        <w:t>POLICY</w:t>
      </w:r>
      <w:r w:rsidRPr="00186465">
        <w:rPr>
          <w:rFonts w:eastAsia="Times New Roman" w:cstheme="minorHAnsi"/>
          <w:color w:val="000000"/>
          <w:sz w:val="24"/>
          <w:szCs w:val="24"/>
        </w:rPr>
        <w:t>:</w:t>
      </w:r>
    </w:p>
    <w:p w14:paraId="3842D26F" w14:textId="14D747B4" w:rsidR="00AB4387" w:rsidRDefault="00AB4387" w:rsidP="00AB4387">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The Ada County Coroner’s Office (ACCO) understands</w:t>
      </w:r>
      <w:r w:rsidR="0068014F">
        <w:rPr>
          <w:rFonts w:eastAsia="Times New Roman" w:cstheme="minorHAnsi"/>
          <w:color w:val="000000"/>
          <w:sz w:val="24"/>
          <w:szCs w:val="24"/>
        </w:rPr>
        <w:t xml:space="preserve"> that death notifications are</w:t>
      </w:r>
      <w:r>
        <w:rPr>
          <w:rFonts w:eastAsia="Times New Roman" w:cstheme="minorHAnsi"/>
          <w:color w:val="000000"/>
          <w:sz w:val="24"/>
          <w:szCs w:val="24"/>
        </w:rPr>
        <w:t xml:space="preserve"> </w:t>
      </w:r>
      <w:r w:rsidR="0068014F">
        <w:rPr>
          <w:rFonts w:eastAsia="Times New Roman" w:cstheme="minorHAnsi"/>
          <w:color w:val="000000"/>
          <w:sz w:val="24"/>
          <w:szCs w:val="24"/>
        </w:rPr>
        <w:t xml:space="preserve">deeply </w:t>
      </w:r>
      <w:r>
        <w:rPr>
          <w:rFonts w:eastAsia="Times New Roman" w:cstheme="minorHAnsi"/>
          <w:color w:val="000000"/>
          <w:sz w:val="24"/>
          <w:szCs w:val="24"/>
        </w:rPr>
        <w:t xml:space="preserve">sensitive </w:t>
      </w:r>
      <w:r w:rsidR="0068014F">
        <w:rPr>
          <w:rFonts w:eastAsia="Times New Roman" w:cstheme="minorHAnsi"/>
          <w:color w:val="000000"/>
          <w:sz w:val="24"/>
          <w:szCs w:val="24"/>
        </w:rPr>
        <w:t>in nature</w:t>
      </w:r>
      <w:r w:rsidR="007551AF">
        <w:rPr>
          <w:rFonts w:eastAsia="Times New Roman" w:cstheme="minorHAnsi"/>
          <w:color w:val="000000"/>
          <w:sz w:val="24"/>
          <w:szCs w:val="24"/>
        </w:rPr>
        <w:t>. It is the policy of the ACCO</w:t>
      </w:r>
      <w:r w:rsidR="00606D6A">
        <w:rPr>
          <w:rFonts w:eastAsia="Times New Roman" w:cstheme="minorHAnsi"/>
          <w:color w:val="000000"/>
          <w:sz w:val="24"/>
          <w:szCs w:val="24"/>
        </w:rPr>
        <w:t>, for deaths falling within the jurisdiction of the Ada County Coroner,</w:t>
      </w:r>
      <w:r w:rsidR="007551AF">
        <w:rPr>
          <w:rFonts w:eastAsia="Times New Roman" w:cstheme="minorHAnsi"/>
          <w:color w:val="000000"/>
          <w:sz w:val="24"/>
          <w:szCs w:val="24"/>
        </w:rPr>
        <w:t xml:space="preserve"> that</w:t>
      </w:r>
      <w:r w:rsidR="0086624F">
        <w:rPr>
          <w:rFonts w:eastAsia="Times New Roman" w:cstheme="minorHAnsi"/>
          <w:color w:val="000000"/>
          <w:sz w:val="24"/>
          <w:szCs w:val="24"/>
        </w:rPr>
        <w:t xml:space="preserve"> notifications be carried out promptly</w:t>
      </w:r>
      <w:r w:rsidR="0068014F">
        <w:rPr>
          <w:rFonts w:eastAsia="Times New Roman" w:cstheme="minorHAnsi"/>
          <w:color w:val="000000"/>
          <w:sz w:val="24"/>
          <w:szCs w:val="24"/>
        </w:rPr>
        <w:t>;</w:t>
      </w:r>
      <w:r w:rsidR="0086624F">
        <w:rPr>
          <w:rFonts w:eastAsia="Times New Roman" w:cstheme="minorHAnsi"/>
          <w:color w:val="000000"/>
          <w:sz w:val="24"/>
          <w:szCs w:val="24"/>
        </w:rPr>
        <w:t xml:space="preserve"> in person whenever practicable</w:t>
      </w:r>
      <w:r w:rsidR="0068014F">
        <w:rPr>
          <w:rFonts w:eastAsia="Times New Roman" w:cstheme="minorHAnsi"/>
          <w:color w:val="000000"/>
          <w:sz w:val="24"/>
          <w:szCs w:val="24"/>
        </w:rPr>
        <w:t>;</w:t>
      </w:r>
      <w:r w:rsidR="0086624F">
        <w:rPr>
          <w:rFonts w:eastAsia="Times New Roman" w:cstheme="minorHAnsi"/>
          <w:color w:val="000000"/>
          <w:sz w:val="24"/>
          <w:szCs w:val="24"/>
        </w:rPr>
        <w:t xml:space="preserve"> and in a compassionate, respectful, and professional manner</w:t>
      </w:r>
      <w:r w:rsidR="00430300">
        <w:rPr>
          <w:rFonts w:eastAsia="Times New Roman" w:cstheme="minorHAnsi"/>
          <w:color w:val="000000"/>
          <w:sz w:val="24"/>
          <w:szCs w:val="24"/>
        </w:rPr>
        <w:t xml:space="preserve">; </w:t>
      </w:r>
      <w:r w:rsidR="0068014F">
        <w:rPr>
          <w:rFonts w:eastAsia="Times New Roman" w:cstheme="minorHAnsi"/>
          <w:color w:val="000000"/>
          <w:sz w:val="24"/>
          <w:szCs w:val="24"/>
        </w:rPr>
        <w:t>to the individual identified as having the legal right to make final disposition decisions</w:t>
      </w:r>
      <w:r w:rsidR="0086624F">
        <w:rPr>
          <w:rFonts w:eastAsia="Times New Roman" w:cstheme="minorHAnsi"/>
          <w:color w:val="000000"/>
          <w:sz w:val="24"/>
          <w:szCs w:val="24"/>
        </w:rPr>
        <w:t>.</w:t>
      </w:r>
    </w:p>
    <w:p w14:paraId="527F4790" w14:textId="203DB49F" w:rsidR="0086624F" w:rsidRDefault="0068014F" w:rsidP="00AB4387">
      <w:pPr>
        <w:spacing w:before="161" w:line="276" w:lineRule="auto"/>
        <w:ind w:right="144"/>
        <w:jc w:val="both"/>
        <w:textAlignment w:val="baseline"/>
        <w:rPr>
          <w:rFonts w:eastAsia="Times New Roman" w:cstheme="minorHAnsi"/>
          <w:color w:val="000000"/>
          <w:sz w:val="24"/>
          <w:szCs w:val="24"/>
        </w:rPr>
      </w:pPr>
      <w:r>
        <w:rPr>
          <w:rFonts w:eastAsia="Times New Roman" w:cstheme="minorHAnsi"/>
          <w:color w:val="000000"/>
          <w:sz w:val="24"/>
          <w:szCs w:val="24"/>
        </w:rPr>
        <w:t>Investigation p</w:t>
      </w:r>
      <w:r w:rsidR="0086624F">
        <w:rPr>
          <w:rFonts w:eastAsia="Times New Roman" w:cstheme="minorHAnsi"/>
          <w:color w:val="000000"/>
          <w:sz w:val="24"/>
          <w:szCs w:val="24"/>
        </w:rPr>
        <w:t xml:space="preserve">ersonnel will adhere to </w:t>
      </w:r>
      <w:r>
        <w:rPr>
          <w:rFonts w:eastAsia="Times New Roman" w:cstheme="minorHAnsi"/>
          <w:color w:val="000000"/>
          <w:sz w:val="24"/>
          <w:szCs w:val="24"/>
        </w:rPr>
        <w:t xml:space="preserve">ACCO </w:t>
      </w:r>
      <w:r w:rsidR="0086624F">
        <w:rPr>
          <w:rFonts w:eastAsia="Times New Roman" w:cstheme="minorHAnsi"/>
          <w:color w:val="000000"/>
          <w:sz w:val="24"/>
          <w:szCs w:val="24"/>
        </w:rPr>
        <w:t>standard operating procedures for the planning, delivery, and post notification processes including but not limited to, the identification of the deceased individual, the collection of accurate information regarding the deceased individual, the identification of the deceased individual’s next of kin</w:t>
      </w:r>
      <w:r w:rsidR="00430300">
        <w:rPr>
          <w:rFonts w:eastAsia="Times New Roman" w:cstheme="minorHAnsi"/>
          <w:color w:val="000000"/>
          <w:sz w:val="24"/>
          <w:szCs w:val="24"/>
        </w:rPr>
        <w:t>,</w:t>
      </w:r>
      <w:r w:rsidR="0086624F">
        <w:rPr>
          <w:rFonts w:eastAsia="Times New Roman" w:cstheme="minorHAnsi"/>
          <w:color w:val="000000"/>
          <w:sz w:val="24"/>
          <w:szCs w:val="24"/>
        </w:rPr>
        <w:t xml:space="preserve"> and the timely delivery of the notification.</w:t>
      </w:r>
    </w:p>
    <w:p w14:paraId="0480E994" w14:textId="608D742F" w:rsidR="001412B6" w:rsidRPr="001412B6" w:rsidRDefault="001412B6" w:rsidP="00186465">
      <w:pPr>
        <w:spacing w:before="161" w:line="276" w:lineRule="auto"/>
        <w:ind w:left="-540" w:right="144"/>
        <w:jc w:val="both"/>
        <w:textAlignment w:val="baseline"/>
        <w:rPr>
          <w:rFonts w:eastAsia="Times New Roman" w:cstheme="minorHAnsi"/>
          <w:b/>
          <w:bCs/>
          <w:color w:val="000000"/>
          <w:sz w:val="24"/>
          <w:szCs w:val="24"/>
        </w:rPr>
      </w:pPr>
    </w:p>
    <w:p w14:paraId="2DAF095D" w14:textId="2F8C551A" w:rsidR="001412B6" w:rsidRPr="00186465" w:rsidRDefault="001412B6" w:rsidP="00186465">
      <w:pPr>
        <w:spacing w:before="161" w:line="276" w:lineRule="auto"/>
        <w:ind w:left="-540" w:right="144"/>
        <w:jc w:val="both"/>
        <w:textAlignment w:val="baseline"/>
        <w:rPr>
          <w:rFonts w:eastAsia="Times New Roman" w:cstheme="minorHAnsi"/>
          <w:color w:val="000000"/>
          <w:sz w:val="24"/>
          <w:szCs w:val="24"/>
        </w:rPr>
      </w:pPr>
      <w:r w:rsidRPr="001412B6">
        <w:rPr>
          <w:rFonts w:eastAsia="Times New Roman" w:cstheme="minorHAnsi"/>
          <w:b/>
          <w:bCs/>
          <w:color w:val="000000"/>
          <w:sz w:val="24"/>
          <w:szCs w:val="24"/>
          <w:u w:val="single"/>
        </w:rPr>
        <w:t>PROCEDURE</w:t>
      </w:r>
      <w:r>
        <w:rPr>
          <w:rFonts w:eastAsia="Times New Roman" w:cstheme="minorHAnsi"/>
          <w:color w:val="000000"/>
          <w:sz w:val="24"/>
          <w:szCs w:val="24"/>
        </w:rPr>
        <w:t>:</w:t>
      </w:r>
    </w:p>
    <w:p w14:paraId="21659861" w14:textId="45E5A5C9" w:rsidR="009E4488" w:rsidRDefault="009E4488" w:rsidP="009E4488">
      <w:pPr>
        <w:pStyle w:val="ListParagraph"/>
        <w:numPr>
          <w:ilvl w:val="0"/>
          <w:numId w:val="1"/>
        </w:numPr>
        <w:ind w:left="180"/>
        <w:jc w:val="both"/>
        <w:rPr>
          <w:b/>
          <w:bCs/>
          <w:sz w:val="24"/>
          <w:szCs w:val="24"/>
        </w:rPr>
      </w:pPr>
      <w:r w:rsidRPr="009E4488">
        <w:rPr>
          <w:b/>
          <w:bCs/>
          <w:sz w:val="24"/>
          <w:szCs w:val="24"/>
        </w:rPr>
        <w:t>Next of Kin Location</w:t>
      </w:r>
    </w:p>
    <w:p w14:paraId="653C7BEB" w14:textId="395C5FF3" w:rsidR="009E4488" w:rsidRDefault="009E4488" w:rsidP="009E4488">
      <w:pPr>
        <w:pStyle w:val="ListParagraph"/>
        <w:numPr>
          <w:ilvl w:val="1"/>
          <w:numId w:val="1"/>
        </w:numPr>
        <w:ind w:left="900"/>
        <w:jc w:val="both"/>
        <w:rPr>
          <w:sz w:val="24"/>
          <w:szCs w:val="24"/>
        </w:rPr>
      </w:pPr>
      <w:r w:rsidRPr="009E4488">
        <w:rPr>
          <w:sz w:val="24"/>
          <w:szCs w:val="24"/>
        </w:rPr>
        <w:t>The Investigation Division</w:t>
      </w:r>
      <w:r>
        <w:rPr>
          <w:sz w:val="24"/>
          <w:szCs w:val="24"/>
        </w:rPr>
        <w:t xml:space="preserve"> will exhaust all options in </w:t>
      </w:r>
      <w:r w:rsidR="00F24AA1">
        <w:rPr>
          <w:sz w:val="24"/>
          <w:szCs w:val="24"/>
        </w:rPr>
        <w:t>the location and notification of</w:t>
      </w:r>
      <w:r>
        <w:rPr>
          <w:sz w:val="24"/>
          <w:szCs w:val="24"/>
        </w:rPr>
        <w:t xml:space="preserve"> the decedent’s legal next of kin/personal representative.</w:t>
      </w:r>
    </w:p>
    <w:p w14:paraId="724CE808" w14:textId="05E892FF" w:rsidR="009E4488" w:rsidRDefault="009E4488" w:rsidP="00895B0F">
      <w:pPr>
        <w:pStyle w:val="ListParagraph"/>
        <w:numPr>
          <w:ilvl w:val="2"/>
          <w:numId w:val="1"/>
        </w:numPr>
        <w:ind w:left="1620"/>
        <w:jc w:val="both"/>
        <w:rPr>
          <w:sz w:val="24"/>
          <w:szCs w:val="24"/>
        </w:rPr>
      </w:pPr>
      <w:r>
        <w:rPr>
          <w:sz w:val="24"/>
          <w:szCs w:val="24"/>
        </w:rPr>
        <w:t>Search activities shall be in accordance with ACCO standard operating procedures.</w:t>
      </w:r>
    </w:p>
    <w:p w14:paraId="465BFA08" w14:textId="5B957653" w:rsidR="00895B0F" w:rsidRDefault="00895B0F" w:rsidP="00895B0F">
      <w:pPr>
        <w:pStyle w:val="ListParagraph"/>
        <w:numPr>
          <w:ilvl w:val="1"/>
          <w:numId w:val="1"/>
        </w:numPr>
        <w:ind w:left="900"/>
        <w:jc w:val="both"/>
        <w:rPr>
          <w:sz w:val="24"/>
          <w:szCs w:val="24"/>
        </w:rPr>
      </w:pPr>
      <w:r>
        <w:rPr>
          <w:sz w:val="24"/>
          <w:szCs w:val="24"/>
        </w:rPr>
        <w:t>In the event</w:t>
      </w:r>
      <w:r w:rsidR="00F24AA1">
        <w:rPr>
          <w:sz w:val="24"/>
          <w:szCs w:val="24"/>
        </w:rPr>
        <w:t xml:space="preserve"> </w:t>
      </w:r>
      <w:r>
        <w:rPr>
          <w:sz w:val="24"/>
          <w:szCs w:val="24"/>
        </w:rPr>
        <w:t xml:space="preserve">legal next of kin/personal representative </w:t>
      </w:r>
      <w:r w:rsidR="00246FAF">
        <w:rPr>
          <w:sz w:val="24"/>
          <w:szCs w:val="24"/>
        </w:rPr>
        <w:t>cannot be</w:t>
      </w:r>
      <w:r>
        <w:rPr>
          <w:sz w:val="24"/>
          <w:szCs w:val="24"/>
        </w:rPr>
        <w:t xml:space="preserve"> not located:</w:t>
      </w:r>
    </w:p>
    <w:p w14:paraId="3F37B410" w14:textId="3803F3FF" w:rsidR="00895B0F" w:rsidRDefault="00895B0F" w:rsidP="00895B0F">
      <w:pPr>
        <w:pStyle w:val="ListParagraph"/>
        <w:numPr>
          <w:ilvl w:val="2"/>
          <w:numId w:val="1"/>
        </w:numPr>
        <w:ind w:left="1620"/>
        <w:jc w:val="both"/>
        <w:rPr>
          <w:sz w:val="24"/>
          <w:szCs w:val="24"/>
        </w:rPr>
      </w:pPr>
      <w:r>
        <w:rPr>
          <w:sz w:val="24"/>
          <w:szCs w:val="24"/>
        </w:rPr>
        <w:t>The decedent shall be transported to the ACCO.</w:t>
      </w:r>
    </w:p>
    <w:p w14:paraId="478EBB38" w14:textId="035F1B32" w:rsidR="00895B0F" w:rsidRDefault="00895B0F" w:rsidP="00895B0F">
      <w:pPr>
        <w:pStyle w:val="ListParagraph"/>
        <w:numPr>
          <w:ilvl w:val="2"/>
          <w:numId w:val="1"/>
        </w:numPr>
        <w:ind w:left="1620"/>
        <w:jc w:val="both"/>
        <w:rPr>
          <w:sz w:val="24"/>
          <w:szCs w:val="24"/>
        </w:rPr>
      </w:pPr>
      <w:r>
        <w:rPr>
          <w:sz w:val="24"/>
          <w:szCs w:val="24"/>
        </w:rPr>
        <w:t xml:space="preserve">Physical property </w:t>
      </w:r>
      <w:r w:rsidR="00246FAF">
        <w:rPr>
          <w:sz w:val="24"/>
          <w:szCs w:val="24"/>
        </w:rPr>
        <w:t>shall</w:t>
      </w:r>
      <w:r>
        <w:rPr>
          <w:sz w:val="24"/>
          <w:szCs w:val="24"/>
        </w:rPr>
        <w:t xml:space="preserve"> be </w:t>
      </w:r>
      <w:r w:rsidR="003415DB">
        <w:rPr>
          <w:sz w:val="24"/>
          <w:szCs w:val="24"/>
        </w:rPr>
        <w:t>documented and</w:t>
      </w:r>
      <w:r>
        <w:rPr>
          <w:sz w:val="24"/>
          <w:szCs w:val="24"/>
        </w:rPr>
        <w:t xml:space="preserve"> secured </w:t>
      </w:r>
      <w:r w:rsidR="00246FAF">
        <w:rPr>
          <w:sz w:val="24"/>
          <w:szCs w:val="24"/>
        </w:rPr>
        <w:t xml:space="preserve">by the Investigator </w:t>
      </w:r>
      <w:r>
        <w:rPr>
          <w:sz w:val="24"/>
          <w:szCs w:val="24"/>
        </w:rPr>
        <w:t>in accordance with standard operating procedures, using the ACCO case management system.</w:t>
      </w:r>
    </w:p>
    <w:p w14:paraId="344A4A68" w14:textId="77777777" w:rsidR="00F24AA1" w:rsidRDefault="00F24AA1" w:rsidP="00895B0F">
      <w:pPr>
        <w:pStyle w:val="ListParagraph"/>
        <w:numPr>
          <w:ilvl w:val="2"/>
          <w:numId w:val="1"/>
        </w:numPr>
        <w:ind w:left="1620"/>
        <w:jc w:val="both"/>
        <w:rPr>
          <w:sz w:val="24"/>
          <w:szCs w:val="24"/>
        </w:rPr>
      </w:pPr>
      <w:r>
        <w:rPr>
          <w:sz w:val="24"/>
          <w:szCs w:val="24"/>
        </w:rPr>
        <w:t>If</w:t>
      </w:r>
      <w:r w:rsidR="00895B0F">
        <w:rPr>
          <w:sz w:val="24"/>
          <w:szCs w:val="24"/>
        </w:rPr>
        <w:t xml:space="preserve"> the safety and security of the decedent’s property is a concern, the Investigator shall</w:t>
      </w:r>
      <w:r>
        <w:rPr>
          <w:sz w:val="24"/>
          <w:szCs w:val="24"/>
        </w:rPr>
        <w:t>:</w:t>
      </w:r>
      <w:r w:rsidR="00895B0F">
        <w:rPr>
          <w:sz w:val="24"/>
          <w:szCs w:val="24"/>
        </w:rPr>
        <w:t xml:space="preserve"> </w:t>
      </w:r>
    </w:p>
    <w:p w14:paraId="59237F08" w14:textId="77777777" w:rsidR="00A76BF2" w:rsidRDefault="00F24AA1" w:rsidP="00A76BF2">
      <w:pPr>
        <w:pStyle w:val="ListParagraph"/>
        <w:numPr>
          <w:ilvl w:val="3"/>
          <w:numId w:val="1"/>
        </w:numPr>
        <w:ind w:left="2520"/>
        <w:jc w:val="both"/>
        <w:rPr>
          <w:sz w:val="24"/>
          <w:szCs w:val="24"/>
        </w:rPr>
      </w:pPr>
      <w:r>
        <w:rPr>
          <w:sz w:val="24"/>
          <w:szCs w:val="24"/>
        </w:rPr>
        <w:t>C</w:t>
      </w:r>
      <w:r w:rsidR="00895B0F">
        <w:rPr>
          <w:sz w:val="24"/>
          <w:szCs w:val="24"/>
        </w:rPr>
        <w:t>ontact the Investigation Supervisor</w:t>
      </w:r>
      <w:r w:rsidR="00AA55DF">
        <w:rPr>
          <w:sz w:val="24"/>
          <w:szCs w:val="24"/>
        </w:rPr>
        <w:t>/on-call Senior Deputy</w:t>
      </w:r>
      <w:r w:rsidR="00895B0F">
        <w:rPr>
          <w:sz w:val="24"/>
          <w:szCs w:val="24"/>
        </w:rPr>
        <w:t>.</w:t>
      </w:r>
    </w:p>
    <w:p w14:paraId="3AB96223" w14:textId="7BB064E4" w:rsidR="00895B0F" w:rsidRPr="00A76BF2" w:rsidRDefault="00A76BF2" w:rsidP="00A76BF2">
      <w:pPr>
        <w:pStyle w:val="ListParagraph"/>
        <w:numPr>
          <w:ilvl w:val="4"/>
          <w:numId w:val="1"/>
        </w:numPr>
        <w:ind w:left="3060"/>
        <w:jc w:val="both"/>
        <w:rPr>
          <w:sz w:val="24"/>
          <w:szCs w:val="24"/>
        </w:rPr>
      </w:pPr>
      <w:r w:rsidRPr="00A76BF2">
        <w:rPr>
          <w:sz w:val="24"/>
          <w:szCs w:val="24"/>
        </w:rPr>
        <w:lastRenderedPageBreak/>
        <w:t>Request the notification of the Ada County Treasurer in their capacity as ex officio Public Administrator</w:t>
      </w:r>
      <w:r>
        <w:rPr>
          <w:sz w:val="24"/>
          <w:szCs w:val="24"/>
        </w:rPr>
        <w:t>.</w:t>
      </w:r>
    </w:p>
    <w:p w14:paraId="707692C9" w14:textId="04518BCE" w:rsidR="00895B0F" w:rsidRDefault="00895B0F" w:rsidP="00895B0F">
      <w:pPr>
        <w:pStyle w:val="ListParagraph"/>
        <w:numPr>
          <w:ilvl w:val="2"/>
          <w:numId w:val="1"/>
        </w:numPr>
        <w:ind w:left="1620"/>
        <w:jc w:val="both"/>
        <w:rPr>
          <w:sz w:val="24"/>
          <w:szCs w:val="24"/>
        </w:rPr>
      </w:pPr>
      <w:r>
        <w:rPr>
          <w:sz w:val="24"/>
          <w:szCs w:val="24"/>
        </w:rPr>
        <w:t xml:space="preserve">Pending further investigation and continued </w:t>
      </w:r>
      <w:r w:rsidR="001957AA">
        <w:rPr>
          <w:sz w:val="24"/>
          <w:szCs w:val="24"/>
        </w:rPr>
        <w:t xml:space="preserve">negative contact with </w:t>
      </w:r>
      <w:r>
        <w:rPr>
          <w:sz w:val="24"/>
          <w:szCs w:val="24"/>
        </w:rPr>
        <w:t>legal next of kin/personal representative</w:t>
      </w:r>
      <w:r w:rsidR="001957AA">
        <w:rPr>
          <w:sz w:val="24"/>
          <w:szCs w:val="24"/>
        </w:rPr>
        <w:t xml:space="preserve">, or an abandonment of </w:t>
      </w:r>
      <w:r w:rsidR="00DC6D5C">
        <w:rPr>
          <w:sz w:val="24"/>
          <w:szCs w:val="24"/>
        </w:rPr>
        <w:t>legal next of kin/personal representative’s</w:t>
      </w:r>
      <w:r w:rsidR="001957AA">
        <w:rPr>
          <w:sz w:val="24"/>
          <w:szCs w:val="24"/>
        </w:rPr>
        <w:t xml:space="preserve"> final disposition authority:</w:t>
      </w:r>
    </w:p>
    <w:p w14:paraId="43FAFEA6" w14:textId="6486A1D4" w:rsidR="00246FAF" w:rsidRPr="00895B0F" w:rsidRDefault="00895B0F" w:rsidP="001957AA">
      <w:pPr>
        <w:pStyle w:val="ListParagraph"/>
        <w:numPr>
          <w:ilvl w:val="3"/>
          <w:numId w:val="1"/>
        </w:numPr>
        <w:ind w:left="2520"/>
        <w:jc w:val="both"/>
        <w:rPr>
          <w:sz w:val="24"/>
          <w:szCs w:val="24"/>
        </w:rPr>
      </w:pPr>
      <w:r>
        <w:rPr>
          <w:sz w:val="24"/>
          <w:szCs w:val="24"/>
        </w:rPr>
        <w:t xml:space="preserve">Per Idaho Code </w:t>
      </w:r>
      <w:r>
        <w:rPr>
          <w:rFonts w:cstheme="minorHAnsi"/>
          <w:sz w:val="24"/>
          <w:szCs w:val="24"/>
        </w:rPr>
        <w:t>§</w:t>
      </w:r>
      <w:r>
        <w:rPr>
          <w:sz w:val="24"/>
          <w:szCs w:val="24"/>
        </w:rPr>
        <w:t xml:space="preserve"> </w:t>
      </w:r>
      <w:r w:rsidR="00246FAF">
        <w:rPr>
          <w:sz w:val="24"/>
          <w:szCs w:val="24"/>
        </w:rPr>
        <w:t>31-2117, the case shall be referred to the Ada County Treasurer’s Office</w:t>
      </w:r>
      <w:r w:rsidR="001957AA">
        <w:rPr>
          <w:sz w:val="24"/>
          <w:szCs w:val="24"/>
        </w:rPr>
        <w:t xml:space="preserve">, along with the release of any collected </w:t>
      </w:r>
      <w:r w:rsidR="00DC6D5C">
        <w:rPr>
          <w:sz w:val="24"/>
          <w:szCs w:val="24"/>
        </w:rPr>
        <w:t>property</w:t>
      </w:r>
      <w:r w:rsidR="001957AA">
        <w:rPr>
          <w:sz w:val="24"/>
          <w:szCs w:val="24"/>
        </w:rPr>
        <w:t xml:space="preserve">, and a copy of the case report. </w:t>
      </w:r>
    </w:p>
    <w:p w14:paraId="018F8D57" w14:textId="77777777" w:rsidR="009E4488" w:rsidRPr="009E4488" w:rsidRDefault="009E4488" w:rsidP="009E4488">
      <w:pPr>
        <w:pStyle w:val="ListParagraph"/>
        <w:numPr>
          <w:ilvl w:val="0"/>
          <w:numId w:val="1"/>
        </w:numPr>
        <w:ind w:left="180"/>
        <w:jc w:val="both"/>
        <w:rPr>
          <w:b/>
          <w:bCs/>
          <w:sz w:val="24"/>
          <w:szCs w:val="24"/>
        </w:rPr>
      </w:pPr>
      <w:r w:rsidRPr="009E4488">
        <w:rPr>
          <w:b/>
          <w:bCs/>
          <w:sz w:val="24"/>
          <w:szCs w:val="24"/>
        </w:rPr>
        <w:t>Next of Kin Notification</w:t>
      </w:r>
    </w:p>
    <w:p w14:paraId="6226D8DF" w14:textId="6CEF89A4" w:rsidR="0064203A" w:rsidRPr="009E4488" w:rsidRDefault="00EB3C05" w:rsidP="009E4488">
      <w:pPr>
        <w:pStyle w:val="ListParagraph"/>
        <w:numPr>
          <w:ilvl w:val="1"/>
          <w:numId w:val="1"/>
        </w:numPr>
        <w:ind w:left="900"/>
        <w:jc w:val="both"/>
        <w:rPr>
          <w:sz w:val="24"/>
          <w:szCs w:val="24"/>
        </w:rPr>
      </w:pPr>
      <w:r w:rsidRPr="009E4488">
        <w:rPr>
          <w:sz w:val="24"/>
          <w:szCs w:val="24"/>
        </w:rPr>
        <w:t xml:space="preserve">Notifications will be completed as soon as possible after </w:t>
      </w:r>
      <w:r w:rsidR="00FB57D6">
        <w:rPr>
          <w:sz w:val="24"/>
          <w:szCs w:val="24"/>
        </w:rPr>
        <w:t xml:space="preserve">the Investigator </w:t>
      </w:r>
      <w:r w:rsidR="001957AA">
        <w:rPr>
          <w:sz w:val="24"/>
          <w:szCs w:val="24"/>
        </w:rPr>
        <w:t>clears</w:t>
      </w:r>
      <w:r w:rsidRPr="009E4488">
        <w:rPr>
          <w:sz w:val="24"/>
          <w:szCs w:val="24"/>
        </w:rPr>
        <w:t xml:space="preserve"> the scene.</w:t>
      </w:r>
    </w:p>
    <w:p w14:paraId="65115F33" w14:textId="71E65079" w:rsidR="00A76BF2" w:rsidRDefault="00EB3C05" w:rsidP="009E4488">
      <w:pPr>
        <w:pStyle w:val="ListParagraph"/>
        <w:numPr>
          <w:ilvl w:val="1"/>
          <w:numId w:val="1"/>
        </w:numPr>
        <w:ind w:left="900"/>
        <w:jc w:val="both"/>
        <w:rPr>
          <w:sz w:val="24"/>
          <w:szCs w:val="24"/>
        </w:rPr>
      </w:pPr>
      <w:r w:rsidRPr="009E4488">
        <w:rPr>
          <w:sz w:val="24"/>
          <w:szCs w:val="24"/>
        </w:rPr>
        <w:t xml:space="preserve">Notifications shall be in person </w:t>
      </w:r>
      <w:r w:rsidR="00FB57D6">
        <w:rPr>
          <w:sz w:val="24"/>
          <w:szCs w:val="24"/>
        </w:rPr>
        <w:t>with</w:t>
      </w:r>
      <w:r w:rsidRPr="009E4488">
        <w:rPr>
          <w:sz w:val="24"/>
          <w:szCs w:val="24"/>
        </w:rPr>
        <w:t xml:space="preserve"> </w:t>
      </w:r>
      <w:r w:rsidR="00A76BF2">
        <w:rPr>
          <w:sz w:val="24"/>
          <w:szCs w:val="24"/>
        </w:rPr>
        <w:t xml:space="preserve">either </w:t>
      </w:r>
      <w:r w:rsidR="00A76BF2" w:rsidRPr="009E4488">
        <w:rPr>
          <w:sz w:val="24"/>
          <w:szCs w:val="24"/>
        </w:rPr>
        <w:t>the</w:t>
      </w:r>
      <w:r w:rsidRPr="009E4488">
        <w:rPr>
          <w:sz w:val="24"/>
          <w:szCs w:val="24"/>
        </w:rPr>
        <w:t xml:space="preserve"> Investigator</w:t>
      </w:r>
      <w:r w:rsidR="00FB57D6">
        <w:rPr>
          <w:sz w:val="24"/>
          <w:szCs w:val="24"/>
        </w:rPr>
        <w:t>,</w:t>
      </w:r>
      <w:r w:rsidRPr="009E4488">
        <w:rPr>
          <w:sz w:val="24"/>
          <w:szCs w:val="24"/>
        </w:rPr>
        <w:t xml:space="preserve"> </w:t>
      </w:r>
      <w:r w:rsidR="00A76BF2">
        <w:rPr>
          <w:sz w:val="24"/>
          <w:szCs w:val="24"/>
        </w:rPr>
        <w:t>or a</w:t>
      </w:r>
      <w:r w:rsidRPr="009E4488">
        <w:rPr>
          <w:sz w:val="24"/>
          <w:szCs w:val="24"/>
        </w:rPr>
        <w:t xml:space="preserve"> law enforcement officer in the jurisdiction where the </w:t>
      </w:r>
      <w:r w:rsidR="001957AA">
        <w:rPr>
          <w:sz w:val="24"/>
          <w:szCs w:val="24"/>
        </w:rPr>
        <w:t xml:space="preserve">legal </w:t>
      </w:r>
      <w:r w:rsidRPr="009E4488">
        <w:rPr>
          <w:sz w:val="24"/>
          <w:szCs w:val="24"/>
        </w:rPr>
        <w:t>next of kin</w:t>
      </w:r>
      <w:r w:rsidR="001957AA">
        <w:rPr>
          <w:sz w:val="24"/>
          <w:szCs w:val="24"/>
        </w:rPr>
        <w:t>/personal representative</w:t>
      </w:r>
      <w:r w:rsidRPr="009E4488">
        <w:rPr>
          <w:sz w:val="24"/>
          <w:szCs w:val="24"/>
        </w:rPr>
        <w:t xml:space="preserve"> resides</w:t>
      </w:r>
      <w:r w:rsidR="00A76BF2">
        <w:rPr>
          <w:sz w:val="24"/>
          <w:szCs w:val="24"/>
        </w:rPr>
        <w:t>.</w:t>
      </w:r>
    </w:p>
    <w:p w14:paraId="139CA7BE" w14:textId="7C4BE105" w:rsidR="00EB3C05" w:rsidRDefault="00C50C9D" w:rsidP="00A76BF2">
      <w:pPr>
        <w:pStyle w:val="ListParagraph"/>
        <w:numPr>
          <w:ilvl w:val="2"/>
          <w:numId w:val="1"/>
        </w:numPr>
        <w:jc w:val="both"/>
        <w:rPr>
          <w:sz w:val="24"/>
          <w:szCs w:val="24"/>
        </w:rPr>
      </w:pPr>
      <w:r>
        <w:rPr>
          <w:sz w:val="24"/>
          <w:szCs w:val="24"/>
        </w:rPr>
        <w:t>Preference is given to</w:t>
      </w:r>
      <w:r w:rsidR="00A76BF2" w:rsidRPr="00C50C9D">
        <w:rPr>
          <w:sz w:val="24"/>
          <w:szCs w:val="24"/>
        </w:rPr>
        <w:t xml:space="preserve"> both</w:t>
      </w:r>
      <w:r>
        <w:rPr>
          <w:sz w:val="24"/>
          <w:szCs w:val="24"/>
        </w:rPr>
        <w:t xml:space="preserve"> the Investigator and the law enforcement officer</w:t>
      </w:r>
      <w:r w:rsidR="00A76BF2" w:rsidRPr="00C50C9D">
        <w:rPr>
          <w:sz w:val="24"/>
          <w:szCs w:val="24"/>
        </w:rPr>
        <w:t xml:space="preserve"> </w:t>
      </w:r>
      <w:r>
        <w:rPr>
          <w:sz w:val="24"/>
          <w:szCs w:val="24"/>
        </w:rPr>
        <w:t>being</w:t>
      </w:r>
      <w:r w:rsidR="00A76BF2" w:rsidRPr="00C50C9D">
        <w:rPr>
          <w:sz w:val="24"/>
          <w:szCs w:val="24"/>
        </w:rPr>
        <w:t xml:space="preserve"> present for the notification.</w:t>
      </w:r>
    </w:p>
    <w:p w14:paraId="66E1AA0A" w14:textId="59B79BD3" w:rsidR="00C50C9D" w:rsidRPr="00C50C9D" w:rsidRDefault="00C50C9D" w:rsidP="00A76BF2">
      <w:pPr>
        <w:pStyle w:val="ListParagraph"/>
        <w:numPr>
          <w:ilvl w:val="2"/>
          <w:numId w:val="1"/>
        </w:numPr>
        <w:jc w:val="both"/>
        <w:rPr>
          <w:sz w:val="24"/>
          <w:szCs w:val="24"/>
        </w:rPr>
      </w:pPr>
      <w:r>
        <w:rPr>
          <w:sz w:val="24"/>
          <w:szCs w:val="24"/>
        </w:rPr>
        <w:t>As necessary, the On-call Senior Deputy may be contacted for guidance.</w:t>
      </w:r>
    </w:p>
    <w:p w14:paraId="4F313241" w14:textId="27DF573D" w:rsidR="00EB3C05" w:rsidRPr="009E4488" w:rsidRDefault="00EB3C05" w:rsidP="009E4488">
      <w:pPr>
        <w:pStyle w:val="ListParagraph"/>
        <w:numPr>
          <w:ilvl w:val="1"/>
          <w:numId w:val="1"/>
        </w:numPr>
        <w:ind w:left="900"/>
        <w:jc w:val="both"/>
        <w:rPr>
          <w:sz w:val="24"/>
          <w:szCs w:val="24"/>
        </w:rPr>
      </w:pPr>
      <w:r w:rsidRPr="009E4488">
        <w:rPr>
          <w:sz w:val="24"/>
          <w:szCs w:val="24"/>
        </w:rPr>
        <w:t>Phone notifications shall only be conducted:</w:t>
      </w:r>
    </w:p>
    <w:p w14:paraId="3E227662" w14:textId="66BFEDB4" w:rsidR="00EB3C05" w:rsidRPr="009E4488" w:rsidRDefault="00EB3C05" w:rsidP="009E4488">
      <w:pPr>
        <w:pStyle w:val="ListParagraph"/>
        <w:numPr>
          <w:ilvl w:val="2"/>
          <w:numId w:val="1"/>
        </w:numPr>
        <w:ind w:left="1620"/>
        <w:jc w:val="both"/>
        <w:rPr>
          <w:sz w:val="24"/>
          <w:szCs w:val="24"/>
        </w:rPr>
      </w:pPr>
      <w:r w:rsidRPr="009E4488">
        <w:rPr>
          <w:sz w:val="24"/>
          <w:szCs w:val="24"/>
        </w:rPr>
        <w:t>When the law enforcement agency requires a teletype.</w:t>
      </w:r>
    </w:p>
    <w:p w14:paraId="06260382" w14:textId="6D3E1AE8" w:rsidR="00EB3C05" w:rsidRPr="009E4488" w:rsidRDefault="00EB3C05" w:rsidP="009E4488">
      <w:pPr>
        <w:pStyle w:val="ListParagraph"/>
        <w:numPr>
          <w:ilvl w:val="2"/>
          <w:numId w:val="1"/>
        </w:numPr>
        <w:ind w:left="1620"/>
        <w:jc w:val="both"/>
        <w:rPr>
          <w:sz w:val="24"/>
          <w:szCs w:val="24"/>
        </w:rPr>
      </w:pPr>
      <w:r w:rsidRPr="009E4488">
        <w:rPr>
          <w:sz w:val="24"/>
          <w:szCs w:val="24"/>
        </w:rPr>
        <w:t xml:space="preserve">The estimated notification timeline exceeds </w:t>
      </w:r>
      <w:r w:rsidR="00FB57D6">
        <w:rPr>
          <w:sz w:val="24"/>
          <w:szCs w:val="24"/>
        </w:rPr>
        <w:t xml:space="preserve">an </w:t>
      </w:r>
      <w:r w:rsidRPr="009E4488">
        <w:rPr>
          <w:sz w:val="24"/>
          <w:szCs w:val="24"/>
        </w:rPr>
        <w:t>allowable timeframe</w:t>
      </w:r>
      <w:r w:rsidR="00FB57D6">
        <w:rPr>
          <w:sz w:val="24"/>
          <w:szCs w:val="24"/>
        </w:rPr>
        <w:t>, pursuant to ACCO standard operating procedures</w:t>
      </w:r>
      <w:r w:rsidRPr="009E4488">
        <w:rPr>
          <w:sz w:val="24"/>
          <w:szCs w:val="24"/>
        </w:rPr>
        <w:t>.</w:t>
      </w:r>
    </w:p>
    <w:p w14:paraId="59408F50" w14:textId="77777777" w:rsidR="009814AB" w:rsidRDefault="00EB3C05" w:rsidP="009E4488">
      <w:pPr>
        <w:pStyle w:val="ListParagraph"/>
        <w:numPr>
          <w:ilvl w:val="2"/>
          <w:numId w:val="1"/>
        </w:numPr>
        <w:ind w:left="1620"/>
        <w:jc w:val="both"/>
        <w:rPr>
          <w:sz w:val="24"/>
          <w:szCs w:val="24"/>
        </w:rPr>
      </w:pPr>
      <w:r w:rsidRPr="009E4488">
        <w:rPr>
          <w:sz w:val="24"/>
          <w:szCs w:val="24"/>
        </w:rPr>
        <w:t>With permission from the Investigation Supervisor/on-call Senior Deputy.</w:t>
      </w:r>
    </w:p>
    <w:p w14:paraId="2D8746F1" w14:textId="114C2E68" w:rsidR="001566E3" w:rsidRPr="00FE03C5" w:rsidRDefault="00FD5DFF" w:rsidP="001566E3">
      <w:pPr>
        <w:pStyle w:val="ListParagraph"/>
        <w:numPr>
          <w:ilvl w:val="1"/>
          <w:numId w:val="1"/>
        </w:numPr>
        <w:ind w:left="900"/>
        <w:jc w:val="both"/>
        <w:rPr>
          <w:sz w:val="24"/>
          <w:szCs w:val="24"/>
          <w:highlight w:val="yellow"/>
        </w:rPr>
      </w:pPr>
      <w:r w:rsidRPr="00FE03C5">
        <w:rPr>
          <w:sz w:val="24"/>
          <w:szCs w:val="24"/>
          <w:highlight w:val="yellow"/>
        </w:rPr>
        <w:t>All deaths of foreign nationals shall be reported to the consulate of the country of origin as per the Vienna Convention, Article 37, as soon as possible</w:t>
      </w:r>
      <w:r w:rsidR="003B2681" w:rsidRPr="00FE03C5">
        <w:rPr>
          <w:sz w:val="24"/>
          <w:szCs w:val="24"/>
          <w:highlight w:val="yellow"/>
        </w:rPr>
        <w:t>, after the death is investigated.</w:t>
      </w:r>
    </w:p>
    <w:p w14:paraId="5E90159F" w14:textId="2742DBE0" w:rsidR="00EB3C05" w:rsidRPr="009E4488" w:rsidRDefault="009814AB" w:rsidP="009814AB">
      <w:pPr>
        <w:pStyle w:val="ListParagraph"/>
        <w:numPr>
          <w:ilvl w:val="1"/>
          <w:numId w:val="1"/>
        </w:numPr>
        <w:ind w:left="900"/>
        <w:jc w:val="both"/>
        <w:rPr>
          <w:sz w:val="24"/>
          <w:szCs w:val="24"/>
        </w:rPr>
      </w:pPr>
      <w:r>
        <w:rPr>
          <w:sz w:val="24"/>
          <w:szCs w:val="24"/>
        </w:rPr>
        <w:t>Documentation of notification shall be made in the ACCO case management system.</w:t>
      </w:r>
      <w:r w:rsidR="009E4488">
        <w:rPr>
          <w:sz w:val="24"/>
          <w:szCs w:val="24"/>
        </w:rPr>
        <w:t xml:space="preserve"> </w:t>
      </w:r>
    </w:p>
    <w:sectPr w:rsidR="00EB3C05" w:rsidRPr="009E4488" w:rsidSect="00BE008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EBEDB" w14:textId="77777777" w:rsidR="00A84684" w:rsidRDefault="00A84684" w:rsidP="00BE0081">
      <w:pPr>
        <w:spacing w:after="0" w:line="240" w:lineRule="auto"/>
      </w:pPr>
      <w:r>
        <w:separator/>
      </w:r>
    </w:p>
  </w:endnote>
  <w:endnote w:type="continuationSeparator" w:id="0">
    <w:p w14:paraId="61B74367" w14:textId="77777777" w:rsidR="00A84684" w:rsidRDefault="00A84684" w:rsidP="00BE0081">
      <w:pPr>
        <w:spacing w:after="0" w:line="240" w:lineRule="auto"/>
      </w:pPr>
      <w:r>
        <w:continuationSeparator/>
      </w:r>
    </w:p>
  </w:endnote>
  <w:endnote w:type="continuationNotice" w:id="1">
    <w:p w14:paraId="28BF125C" w14:textId="77777777" w:rsidR="009442DB" w:rsidRDefault="009442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98F3" w14:textId="77777777" w:rsidR="00BE0081" w:rsidRDefault="00BE00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FA616" w14:textId="47C20A47" w:rsidR="00BE0081" w:rsidRPr="00BE0081" w:rsidRDefault="00BE0081" w:rsidP="00BE0081">
    <w:pPr>
      <w:pStyle w:val="Footer"/>
      <w:jc w:val="right"/>
      <w:rPr>
        <w:sz w:val="16"/>
        <w:szCs w:val="16"/>
      </w:rPr>
    </w:pPr>
    <w:r w:rsidRPr="00BE0081">
      <w:rPr>
        <w:sz w:val="16"/>
        <w:szCs w:val="16"/>
      </w:rPr>
      <w:fldChar w:fldCharType="begin"/>
    </w:r>
    <w:r w:rsidRPr="00BE0081">
      <w:rPr>
        <w:sz w:val="16"/>
        <w:szCs w:val="16"/>
      </w:rPr>
      <w:instrText xml:space="preserve"> FILENAME  \* Caps  \* MERGEFORMAT </w:instrText>
    </w:r>
    <w:r w:rsidRPr="00BE0081">
      <w:rPr>
        <w:sz w:val="16"/>
        <w:szCs w:val="16"/>
      </w:rPr>
      <w:fldChar w:fldCharType="separate"/>
    </w:r>
    <w:r w:rsidRPr="00BE0081">
      <w:rPr>
        <w:noProof/>
        <w:sz w:val="16"/>
        <w:szCs w:val="16"/>
      </w:rPr>
      <w:t>Death Notification</w:t>
    </w:r>
    <w:r w:rsidRPr="00BE0081">
      <w:rPr>
        <w:sz w:val="16"/>
        <w:szCs w:val="16"/>
      </w:rPr>
      <w:fldChar w:fldCharType="end"/>
    </w:r>
    <w:r w:rsidRPr="00BE0081">
      <w:rPr>
        <w:sz w:val="16"/>
        <w:szCs w:val="16"/>
      </w:rPr>
      <w:t xml:space="preserve"> Page </w:t>
    </w:r>
    <w:r w:rsidRPr="00BE0081">
      <w:rPr>
        <w:sz w:val="16"/>
        <w:szCs w:val="16"/>
      </w:rPr>
      <w:fldChar w:fldCharType="begin"/>
    </w:r>
    <w:r w:rsidRPr="00BE0081">
      <w:rPr>
        <w:sz w:val="16"/>
        <w:szCs w:val="16"/>
      </w:rPr>
      <w:instrText xml:space="preserve"> PAGE  \* Arabic  \* MERGEFORMAT </w:instrText>
    </w:r>
    <w:r w:rsidRPr="00BE0081">
      <w:rPr>
        <w:sz w:val="16"/>
        <w:szCs w:val="16"/>
      </w:rPr>
      <w:fldChar w:fldCharType="separate"/>
    </w:r>
    <w:r w:rsidRPr="00BE0081">
      <w:rPr>
        <w:noProof/>
        <w:sz w:val="16"/>
        <w:szCs w:val="16"/>
      </w:rPr>
      <w:t>1</w:t>
    </w:r>
    <w:r w:rsidRPr="00BE0081">
      <w:rPr>
        <w:sz w:val="16"/>
        <w:szCs w:val="16"/>
      </w:rPr>
      <w:fldChar w:fldCharType="end"/>
    </w:r>
    <w:r w:rsidRPr="00BE0081">
      <w:rPr>
        <w:sz w:val="16"/>
        <w:szCs w:val="16"/>
      </w:rPr>
      <w:t xml:space="preserve"> of </w:t>
    </w:r>
    <w:r w:rsidRPr="00BE0081">
      <w:rPr>
        <w:sz w:val="16"/>
        <w:szCs w:val="16"/>
      </w:rPr>
      <w:fldChar w:fldCharType="begin"/>
    </w:r>
    <w:r w:rsidRPr="00BE0081">
      <w:rPr>
        <w:sz w:val="16"/>
        <w:szCs w:val="16"/>
      </w:rPr>
      <w:instrText xml:space="preserve"> NUMPAGES  \* Arabic  \* MERGEFORMAT </w:instrText>
    </w:r>
    <w:r w:rsidRPr="00BE0081">
      <w:rPr>
        <w:sz w:val="16"/>
        <w:szCs w:val="16"/>
      </w:rPr>
      <w:fldChar w:fldCharType="separate"/>
    </w:r>
    <w:r w:rsidRPr="00BE0081">
      <w:rPr>
        <w:noProof/>
        <w:sz w:val="16"/>
        <w:szCs w:val="16"/>
      </w:rPr>
      <w:t>2</w:t>
    </w:r>
    <w:r w:rsidRPr="00BE0081">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FFCF" w14:textId="77777777" w:rsidR="00BE0081" w:rsidRDefault="00BE00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56F8F" w14:textId="77777777" w:rsidR="00A84684" w:rsidRDefault="00A84684" w:rsidP="00BE0081">
      <w:pPr>
        <w:spacing w:after="0" w:line="240" w:lineRule="auto"/>
      </w:pPr>
      <w:r>
        <w:separator/>
      </w:r>
    </w:p>
  </w:footnote>
  <w:footnote w:type="continuationSeparator" w:id="0">
    <w:p w14:paraId="38516963" w14:textId="77777777" w:rsidR="00A84684" w:rsidRDefault="00A84684" w:rsidP="00BE0081">
      <w:pPr>
        <w:spacing w:after="0" w:line="240" w:lineRule="auto"/>
      </w:pPr>
      <w:r>
        <w:continuationSeparator/>
      </w:r>
    </w:p>
  </w:footnote>
  <w:footnote w:type="continuationNotice" w:id="1">
    <w:p w14:paraId="380D9D75" w14:textId="77777777" w:rsidR="009442DB" w:rsidRDefault="009442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94AF" w14:textId="77777777" w:rsidR="00BE0081" w:rsidRDefault="00BE0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7E51" w14:textId="77777777" w:rsidR="00BE0081" w:rsidRDefault="00BE00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4871A" w14:textId="77777777" w:rsidR="00BE0081" w:rsidRDefault="00BE0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C325E8"/>
    <w:multiLevelType w:val="hybridMultilevel"/>
    <w:tmpl w:val="FE1657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891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8B"/>
    <w:rsid w:val="000020E5"/>
    <w:rsid w:val="00010E96"/>
    <w:rsid w:val="0004302E"/>
    <w:rsid w:val="0004706F"/>
    <w:rsid w:val="00054ED8"/>
    <w:rsid w:val="001165A3"/>
    <w:rsid w:val="001351E1"/>
    <w:rsid w:val="0013714F"/>
    <w:rsid w:val="001412B6"/>
    <w:rsid w:val="001566E3"/>
    <w:rsid w:val="00186465"/>
    <w:rsid w:val="001957AA"/>
    <w:rsid w:val="001C54B8"/>
    <w:rsid w:val="001F68CA"/>
    <w:rsid w:val="00246FAF"/>
    <w:rsid w:val="00260F62"/>
    <w:rsid w:val="002B2A63"/>
    <w:rsid w:val="002C30C9"/>
    <w:rsid w:val="002E7CF2"/>
    <w:rsid w:val="003415DB"/>
    <w:rsid w:val="003A4777"/>
    <w:rsid w:val="003B2681"/>
    <w:rsid w:val="00430300"/>
    <w:rsid w:val="00435C83"/>
    <w:rsid w:val="00474DF3"/>
    <w:rsid w:val="0049089F"/>
    <w:rsid w:val="004A3DA8"/>
    <w:rsid w:val="005D47E8"/>
    <w:rsid w:val="00606D6A"/>
    <w:rsid w:val="0064203A"/>
    <w:rsid w:val="00671A00"/>
    <w:rsid w:val="0068014F"/>
    <w:rsid w:val="006F128D"/>
    <w:rsid w:val="007551AF"/>
    <w:rsid w:val="007B1552"/>
    <w:rsid w:val="0086624F"/>
    <w:rsid w:val="00895B0F"/>
    <w:rsid w:val="008C09FA"/>
    <w:rsid w:val="00902E5B"/>
    <w:rsid w:val="009442DB"/>
    <w:rsid w:val="00945ACD"/>
    <w:rsid w:val="0097196B"/>
    <w:rsid w:val="00971C85"/>
    <w:rsid w:val="009814AB"/>
    <w:rsid w:val="009E4488"/>
    <w:rsid w:val="00A76BF2"/>
    <w:rsid w:val="00A83C7C"/>
    <w:rsid w:val="00A84684"/>
    <w:rsid w:val="00AA1213"/>
    <w:rsid w:val="00AA55DF"/>
    <w:rsid w:val="00AA5EF8"/>
    <w:rsid w:val="00AB4387"/>
    <w:rsid w:val="00B27B40"/>
    <w:rsid w:val="00BE0081"/>
    <w:rsid w:val="00C50C9D"/>
    <w:rsid w:val="00C530DA"/>
    <w:rsid w:val="00C844A9"/>
    <w:rsid w:val="00C96D04"/>
    <w:rsid w:val="00CA0BCE"/>
    <w:rsid w:val="00CC4EB7"/>
    <w:rsid w:val="00DC6D5C"/>
    <w:rsid w:val="00DD4E8C"/>
    <w:rsid w:val="00E42BDA"/>
    <w:rsid w:val="00EB3C05"/>
    <w:rsid w:val="00EE4FD0"/>
    <w:rsid w:val="00F059F0"/>
    <w:rsid w:val="00F235D6"/>
    <w:rsid w:val="00F2378B"/>
    <w:rsid w:val="00F24AA1"/>
    <w:rsid w:val="00F8353E"/>
    <w:rsid w:val="00FB57D6"/>
    <w:rsid w:val="00FD5DFF"/>
    <w:rsid w:val="00FE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46254"/>
  <w15:chartTrackingRefBased/>
  <w15:docId w15:val="{F1C1CA8C-2BBE-4BF2-A976-6FD6E2C8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C05"/>
    <w:pPr>
      <w:ind w:left="720"/>
      <w:contextualSpacing/>
    </w:pPr>
  </w:style>
  <w:style w:type="paragraph" w:styleId="Header">
    <w:name w:val="header"/>
    <w:basedOn w:val="Normal"/>
    <w:link w:val="HeaderChar"/>
    <w:uiPriority w:val="99"/>
    <w:unhideWhenUsed/>
    <w:rsid w:val="00BE00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081"/>
  </w:style>
  <w:style w:type="paragraph" w:styleId="Footer">
    <w:name w:val="footer"/>
    <w:basedOn w:val="Normal"/>
    <w:link w:val="FooterChar"/>
    <w:uiPriority w:val="99"/>
    <w:unhideWhenUsed/>
    <w:rsid w:val="00BE00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1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FC7B7-7E6D-4E86-A016-40CE5024F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685F2-E0A8-48B3-9A53-9CFAD8D28197}">
  <ds:schemaRefs>
    <ds:schemaRef ds:uri="http://schemas.microsoft.com/office/2006/metadata/properties"/>
    <ds:schemaRef ds:uri="http://schemas.microsoft.com/office/infopath/2007/PartnerControls"/>
    <ds:schemaRef ds:uri="8ef27eb8-0e3d-496f-b523-771757bdd770"/>
    <ds:schemaRef ds:uri="http://schemas.microsoft.com/office/2006/documentManagement/types"/>
    <ds:schemaRef ds:uri="http://purl.org/dc/dcmitype/"/>
    <ds:schemaRef ds:uri="8416942f-d982-4ba4-a5b0-104826b4be24"/>
    <ds:schemaRef ds:uri="http://www.w3.org/XML/1998/namespace"/>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81756E1E-73BB-4E3B-9657-843987151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Ada County</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Macdonald</dc:creator>
  <cp:keywords/>
  <dc:description/>
  <cp:lastModifiedBy>Rich Riffle</cp:lastModifiedBy>
  <cp:revision>2</cp:revision>
  <cp:lastPrinted>2023-04-07T17:20:00Z</cp:lastPrinted>
  <dcterms:created xsi:type="dcterms:W3CDTF">2025-05-21T11:54:00Z</dcterms:created>
  <dcterms:modified xsi:type="dcterms:W3CDTF">2025-05-21T11:54:00Z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69482079b0f27273360befb4a806ade0136cc56d5eb8b689d26d24a78d00ffe3</vt:lpwstr>
  </property>
  <property fmtid="{D5CDD505-2E9C-101B-9397-08002B2CF9AE}" pid="3" name="ContentTypeId">
    <vt:lpwstr>0x0101002FE5814883B49940B4B8AAE202A6E984</vt:lpwstr>
  </property>
</Properties>
</file>